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6D28D9" w:val="clear"/>
          </w:tcPr>
          <w:p>
            <w:r>
              <w:t xml:space="preserve"/>
            </w:r>
          </w:p>
        </w:tc>
        <w:tc>
          <w:tcPr>
            <w:tcW w:type="dxa" w:w="8880"/>
            <w:tcBorders>
              <w:top w:val="none" w:color="FFFFFF" w:sz="0"/>
              <w:left w:val="none" w:color="FFFFFF" w:sz="0"/>
              <w:bottom w:val="none" w:color="FFFFFF" w:sz="0"/>
              <w:right w:val="none" w:color="FFFFFF" w:sz="0"/>
            </w:tcBorders>
            <w:shd w:fill="FFFFFF" w:val="clear"/>
            <w:tcMar>
              <w:left w:type="dxa" w:w="360"/>
            </w:tcMar>
          </w:tcPr>
          <w:p>
            <w:pPr>
              <w:spacing w:after="120" w:before="80"/>
            </w:pPr>
            <w:r>
              <w:rPr>
                <w:rFonts w:ascii="Arial" w:cs="Arial" w:eastAsia="Arial" w:hAnsi="Arial"/>
                <w:b/>
                <w:bCs/>
                <w:caps/>
                <w:color w:val="6D28D9"/>
                <w:spacing w:val="120"/>
                <w:sz w:val="18"/>
                <w:szCs w:val="18"/>
              </w:rPr>
              <w:t xml:space="preserve">WHITE PAPER — VERSION 3.0 — APRIL 2026</w:t>
            </w:r>
          </w:p>
          <w:p>
            <w:pPr>
              <w:spacing w:after="80" w:before="0"/>
            </w:pPr>
            <w:r>
              <w:rPr>
                <w:rFonts w:ascii="Arial" w:cs="Arial" w:eastAsia="Arial" w:hAnsi="Arial"/>
                <w:b/>
                <w:bCs/>
                <w:color w:val="1E293B"/>
                <w:sz w:val="56"/>
                <w:szCs w:val="56"/>
              </w:rPr>
              <w:t xml:space="preserve">Unified Autonomous IT Operations</w:t>
            </w:r>
          </w:p>
          <w:p>
            <w:pPr>
              <w:spacing w:after="320" w:before="0"/>
            </w:pPr>
            <w:r>
              <w:rPr>
                <w:rFonts w:ascii="Arial" w:cs="Arial" w:eastAsia="Arial" w:hAnsi="Arial"/>
                <w:i/>
                <w:iCs/>
                <w:color w:val="6D28D9"/>
                <w:sz w:val="26"/>
                <w:szCs w:val="26"/>
              </w:rPr>
              <w:t xml:space="preserve">UAIO replaces monitoring, ticketing, and AIOps with autonomous execution and cryptographic proof.</w:t>
            </w:r>
          </w:p>
          <w:p>
            <w:pPr>
              <w:spacing w:after="480" w:before="0"/>
              <w:jc w:val="both"/>
            </w:pPr>
            <w:r>
              <w:rPr>
                <w:rFonts w:ascii="Arial" w:cs="Arial" w:eastAsia="Arial" w:hAnsi="Arial"/>
                <w:color w:val="334155"/>
                <w:sz w:val="22"/>
                <w:szCs w:val="22"/>
              </w:rPr>
              <w:t xml:space="preserve">UAIO is not an incremental improvement to existing IT operations — it is a fundamental reimagining of how enterprise and government infrastructure is monitored, maintained, and proven. Every action autonomous. Every outcome cryptographically verified.</w:t>
            </w:r>
          </w:p>
          <w:p>
            <w:pPr>
              <w:spacing w:after="80" w:before="0"/>
            </w:pPr>
            <w:r>
              <w:rPr>
                <w:rFonts w:ascii="Arial" w:cs="Arial" w:eastAsia="Arial" w:hAnsi="Arial"/>
                <w:b/>
                <w:bCs/>
                <w:color w:val="1E293B"/>
                <w:sz w:val="20"/>
                <w:szCs w:val="20"/>
              </w:rPr>
              <w:t xml:space="preserve">Author:  </w:t>
            </w:r>
            <w:r>
              <w:rPr>
                <w:rFonts w:ascii="Arial" w:cs="Arial" w:eastAsia="Arial" w:hAnsi="Arial"/>
                <w:color w:val="1E293B"/>
                <w:sz w:val="20"/>
                <w:szCs w:val="20"/>
              </w:rPr>
              <w:t xml:space="preserve">DJuane Jackson, CEO &amp; Founder, iTechSmart Inc.</w:t>
            </w:r>
          </w:p>
          <w:p>
            <w:pPr>
              <w:spacing w:after="80" w:before="0"/>
            </w:pPr>
            <w:r>
              <w:rPr>
                <w:rFonts w:ascii="Arial" w:cs="Arial" w:eastAsia="Arial" w:hAnsi="Arial"/>
                <w:b/>
                <w:bCs/>
                <w:color w:val="1E293B"/>
                <w:sz w:val="20"/>
                <w:szCs w:val="20"/>
              </w:rPr>
              <w:t xml:space="preserve">Classification:  </w:t>
            </w:r>
            <w:r>
              <w:rPr>
                <w:rFonts w:ascii="Arial" w:cs="Arial" w:eastAsia="Arial" w:hAnsi="Arial"/>
                <w:color w:val="1E293B"/>
                <w:sz w:val="20"/>
                <w:szCs w:val="20"/>
              </w:rPr>
              <w:t xml:space="preserve">Public — For Distribution</w:t>
            </w:r>
          </w:p>
          <w:p>
            <w:pPr>
              <w:spacing w:after="80" w:before="0"/>
            </w:pPr>
            <w:r>
              <w:rPr>
                <w:rFonts w:ascii="Arial" w:cs="Arial" w:eastAsia="Arial" w:hAnsi="Arial"/>
                <w:b/>
                <w:bCs/>
                <w:color w:val="1E293B"/>
                <w:sz w:val="20"/>
                <w:szCs w:val="20"/>
              </w:rPr>
              <w:t xml:space="preserve">Version:  </w:t>
            </w:r>
            <w:r>
              <w:rPr>
                <w:rFonts w:ascii="Arial" w:cs="Arial" w:eastAsia="Arial" w:hAnsi="Arial"/>
                <w:color w:val="1E293B"/>
                <w:sz w:val="20"/>
                <w:szCs w:val="20"/>
              </w:rPr>
              <w:t xml:space="preserve">3.0 — April 2026</w:t>
            </w:r>
          </w:p>
          <w:p>
            <w:pPr>
              <w:spacing w:after="80" w:before="0"/>
            </w:pPr>
            <w:r>
              <w:rPr>
                <w:rFonts w:ascii="Arial" w:cs="Arial" w:eastAsia="Arial" w:hAnsi="Arial"/>
                <w:b/>
                <w:bCs/>
                <w:color w:val="1E293B"/>
                <w:sz w:val="20"/>
                <w:szCs w:val="20"/>
              </w:rPr>
              <w:t xml:space="preserve">Certifications:  </w:t>
            </w:r>
            <w:r>
              <w:rPr>
                <w:rFonts w:ascii="Arial" w:cs="Arial" w:eastAsia="Arial" w:hAnsi="Arial"/>
                <w:color w:val="334155"/>
                <w:sz w:val="20"/>
                <w:szCs w:val="20"/>
              </w:rPr>
              <w:t xml:space="preserve">SDVOSB  |  CAGE 172W2  |  UEI ZCPFX4N86G36  |  SDB  |  VOSB  |  Minority-Owned</w:t>
            </w:r>
          </w:p>
          <w:p>
            <w:pPr>
              <w:spacing w:after="80" w:before="0"/>
            </w:pPr>
            <w:r>
              <w:rPr>
                <w:rFonts w:ascii="Arial" w:cs="Arial" w:eastAsia="Arial" w:hAnsi="Arial"/>
                <w:b/>
                <w:bCs/>
                <w:color w:val="1E293B"/>
                <w:sz w:val="20"/>
                <w:szCs w:val="20"/>
              </w:rPr>
              <w:t xml:space="preserve">Compliance:  </w:t>
            </w:r>
            <w:r>
              <w:rPr>
                <w:rFonts w:ascii="Arial" w:cs="Arial" w:eastAsia="Arial" w:hAnsi="Arial"/>
                <w:color w:val="334155"/>
                <w:sz w:val="20"/>
                <w:szCs w:val="20"/>
              </w:rPr>
              <w:t xml:space="preserve">NIST CSF 95/100  |  HIPAA 89/100  |  SOC 2 79/100  |  FedRAMP Pathway Active</w:t>
            </w:r>
          </w:p>
          <w:p>
            <w:pPr>
              <w:spacing w:after="0" w:before="160"/>
            </w:pPr>
            <w:r>
              <w:rPr>
                <w:rFonts w:ascii="Arial" w:cs="Arial" w:eastAsia="Arial" w:hAnsi="Arial"/>
                <w:color w:val="6D28D9"/>
                <w:sz w:val="20"/>
                <w:szCs w:val="20"/>
              </w:rPr>
              <w:t xml:space="preserve">www.itechsmart.dev</w:t>
            </w:r>
          </w:p>
        </w:tc>
      </w:tr>
    </w:tbl>
    <w:p>
      <w:pPr>
        <w:spacing w:after="0" w:before="4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3120"/>
            <w:tcBorders>
              <w:top w:val="single" w:color="CBD5E1" w:sz="1"/>
              <w:left w:val="single" w:color="CBD5E1" w:sz="1"/>
              <w:bottom w:val="single" w:color="CBD5E1" w:sz="1"/>
              <w:right w:val="single" w:color="CBD5E1" w:sz="1"/>
            </w:tcBorders>
            <w:shd w:fill="1E293B" w:val="clear"/>
            <w:tcMar>
              <w:top w:type="dxa" w:w="200"/>
              <w:left w:type="dxa" w:w="240"/>
              <w:bottom w:type="dxa" w:w="200"/>
              <w:right w:type="dxa" w:w="240"/>
            </w:tcMar>
            <w:vAlign w:val="center"/>
          </w:tcPr>
          <w:p>
            <w:pPr>
              <w:spacing w:after="60" w:before="0"/>
              <w:jc w:val="center"/>
            </w:pPr>
            <w:r>
              <w:rPr>
                <w:rFonts w:ascii="Arial" w:cs="Arial" w:eastAsia="Arial" w:hAnsi="Arial"/>
                <w:b/>
                <w:bCs/>
                <w:color w:val="EDE9FE"/>
                <w:sz w:val="56"/>
                <w:szCs w:val="56"/>
              </w:rPr>
              <w:t xml:space="preserve">80%</w:t>
            </w:r>
          </w:p>
          <w:p>
            <w:pPr>
              <w:spacing w:after="0" w:before="0"/>
              <w:jc w:val="center"/>
            </w:pPr>
            <w:r>
              <w:rPr>
                <w:rFonts w:ascii="Arial" w:cs="Arial" w:eastAsia="Arial" w:hAnsi="Arial"/>
                <w:color w:val="94A3B8"/>
                <w:sz w:val="18"/>
                <w:szCs w:val="18"/>
              </w:rPr>
              <w:t xml:space="preserve">Reduction in MTTR</w:t>
            </w:r>
          </w:p>
        </w:tc>
        <w:tc>
          <w:tcPr>
            <w:tcW w:type="dxa" w:w="3120"/>
            <w:tcBorders>
              <w:top w:val="single" w:color="CBD5E1" w:sz="1"/>
              <w:left w:val="single" w:color="CBD5E1" w:sz="1"/>
              <w:bottom w:val="single" w:color="CBD5E1" w:sz="1"/>
              <w:right w:val="single" w:color="CBD5E1" w:sz="1"/>
            </w:tcBorders>
            <w:shd w:fill="1E293B" w:val="clear"/>
            <w:tcMar>
              <w:top w:type="dxa" w:w="200"/>
              <w:left w:type="dxa" w:w="240"/>
              <w:bottom w:type="dxa" w:w="200"/>
              <w:right w:type="dxa" w:w="240"/>
            </w:tcMar>
            <w:vAlign w:val="center"/>
          </w:tcPr>
          <w:p>
            <w:pPr>
              <w:spacing w:after="60" w:before="0"/>
              <w:jc w:val="center"/>
            </w:pPr>
            <w:r>
              <w:rPr>
                <w:rFonts w:ascii="Arial" w:cs="Arial" w:eastAsia="Arial" w:hAnsi="Arial"/>
                <w:b/>
                <w:bCs/>
                <w:color w:val="EDE9FE"/>
                <w:sz w:val="56"/>
                <w:szCs w:val="56"/>
              </w:rPr>
              <w:t xml:space="preserve">90%</w:t>
            </w:r>
          </w:p>
          <w:p>
            <w:pPr>
              <w:spacing w:after="0" w:before="0"/>
              <w:jc w:val="center"/>
            </w:pPr>
            <w:r>
              <w:rPr>
                <w:rFonts w:ascii="Arial" w:cs="Arial" w:eastAsia="Arial" w:hAnsi="Arial"/>
                <w:color w:val="94A3B8"/>
                <w:sz w:val="18"/>
                <w:szCs w:val="18"/>
              </w:rPr>
              <w:t xml:space="preserve">Compliance Overhead Eliminated</w:t>
            </w:r>
          </w:p>
        </w:tc>
        <w:tc>
          <w:tcPr>
            <w:tcW w:type="dxa" w:w="3120"/>
            <w:tcBorders>
              <w:top w:val="single" w:color="CBD5E1" w:sz="1"/>
              <w:left w:val="single" w:color="CBD5E1" w:sz="1"/>
              <w:bottom w:val="single" w:color="CBD5E1" w:sz="1"/>
              <w:right w:val="single" w:color="CBD5E1" w:sz="1"/>
            </w:tcBorders>
            <w:shd w:fill="1E293B" w:val="clear"/>
            <w:tcMar>
              <w:top w:type="dxa" w:w="200"/>
              <w:left w:type="dxa" w:w="240"/>
              <w:bottom w:type="dxa" w:w="200"/>
              <w:right w:type="dxa" w:w="240"/>
            </w:tcMar>
            <w:vAlign w:val="center"/>
          </w:tcPr>
          <w:p>
            <w:pPr>
              <w:spacing w:after="60" w:before="0"/>
              <w:jc w:val="center"/>
            </w:pPr>
            <w:r>
              <w:rPr>
                <w:rFonts w:ascii="Arial" w:cs="Arial" w:eastAsia="Arial" w:hAnsi="Arial"/>
                <w:b/>
                <w:bCs/>
                <w:color w:val="EDE9FE"/>
                <w:sz w:val="56"/>
                <w:szCs w:val="56"/>
              </w:rPr>
              <w:t xml:space="preserve">100%</w:t>
            </w:r>
          </w:p>
          <w:p>
            <w:pPr>
              <w:spacing w:after="0" w:before="0"/>
              <w:jc w:val="center"/>
            </w:pPr>
            <w:r>
              <w:rPr>
                <w:rFonts w:ascii="Arial" w:cs="Arial" w:eastAsia="Arial" w:hAnsi="Arial"/>
                <w:color w:val="94A3B8"/>
                <w:sz w:val="18"/>
                <w:szCs w:val="18"/>
              </w:rPr>
              <w:t xml:space="preserve">Cryptographic Proof on Every Action</w:t>
            </w:r>
          </w:p>
        </w:tc>
        <w:tc>
          <w:tcPr>
            <w:tcW w:type="dxa" w:w="3120"/>
            <w:tcBorders>
              <w:top w:val="single" w:color="CBD5E1" w:sz="1"/>
              <w:left w:val="single" w:color="CBD5E1" w:sz="1"/>
              <w:bottom w:val="single" w:color="CBD5E1" w:sz="1"/>
              <w:right w:val="single" w:color="CBD5E1" w:sz="1"/>
            </w:tcBorders>
            <w:shd w:fill="1E293B" w:val="clear"/>
            <w:tcMar>
              <w:top w:type="dxa" w:w="200"/>
              <w:left w:type="dxa" w:w="240"/>
              <w:bottom w:type="dxa" w:w="200"/>
              <w:right w:type="dxa" w:w="240"/>
            </w:tcMar>
            <w:vAlign w:val="center"/>
          </w:tcPr>
          <w:p>
            <w:pPr>
              <w:spacing w:after="60" w:before="0"/>
              <w:jc w:val="center"/>
            </w:pPr>
            <w:r>
              <w:rPr>
                <w:rFonts w:ascii="Arial" w:cs="Arial" w:eastAsia="Arial" w:hAnsi="Arial"/>
                <w:b/>
                <w:bCs/>
                <w:color w:val="EDE9FE"/>
                <w:sz w:val="56"/>
                <w:szCs w:val="56"/>
              </w:rPr>
              <w:t xml:space="preserve">#6</w:t>
            </w:r>
          </w:p>
          <w:p>
            <w:pPr>
              <w:spacing w:after="0" w:before="0"/>
              <w:jc w:val="center"/>
            </w:pPr>
            <w:r>
              <w:rPr>
                <w:rFonts w:ascii="Arial" w:cs="Arial" w:eastAsia="Arial" w:hAnsi="Arial"/>
                <w:color w:val="94A3B8"/>
                <w:sz w:val="18"/>
                <w:szCs w:val="18"/>
              </w:rPr>
              <w:t xml:space="preserve">of 2M+ AI Startups Globally — F6S</w:t>
            </w:r>
          </w:p>
        </w:tc>
      </w:tr>
    </w:tbl>
    <w:p>
      <w:pPr>
        <w:spacing w:after="0" w:before="320"/>
      </w:pPr>
      <w:r>
        <w:t xml:space="preserve"/>
      </w:r>
    </w:p>
    <w:p>
      <w:pPr>
        <w:spacing w:after="0" w:before="160"/>
        <w:jc w:val="center"/>
      </w:pPr>
      <w:r>
        <w:rPr>
          <w:rFonts w:ascii="Arial" w:cs="Arial" w:eastAsia="Arial" w:hAnsi="Arial"/>
          <w:i/>
          <w:iCs/>
          <w:color w:val="334155"/>
          <w:sz w:val="18"/>
          <w:szCs w:val="18"/>
        </w:rPr>
        <w:t xml:space="preserve">124 containers live  |  74 SSL subdomains  |  Wazuh SIEM deployed  |  Active FedRAMP Pathway  |  Ranked #6 globally on F6S</w:t>
      </w:r>
    </w:p>
    <w:p>
      <w:r>
        <w:br w:type="page"/>
      </w:r>
    </w:p>
    <w:p>
      <w:pPr>
        <w:sectPr>
          <w:pgSz w:w="12240" w:h="15840" w:orient="portrait"/>
          <w:pgMar w:top="1440" w:right="1440" w:bottom="1440" w:left="1440" w:header="708" w:footer="708" w:gutter="0"/>
          <w:pgNumType/>
          <w:docGrid w:linePitch="360"/>
        </w:sectPr>
      </w:pPr>
    </w:p>
    <w:p>
      <w:pPr>
        <w:pStyle w:val="Heading1"/>
        <w:pBdr>
          <w:bottom w:val="single" w:color="6D28D9" w:sz="6" w:space="1"/>
        </w:pBdr>
        <w:spacing w:after="160" w:before="480"/>
      </w:pPr>
      <w:r>
        <w:rPr>
          <w:rFonts w:ascii="Arial" w:cs="Arial" w:eastAsia="Arial" w:hAnsi="Arial"/>
          <w:b/>
          <w:bCs/>
          <w:color w:val="1E293B"/>
          <w:sz w:val="36"/>
          <w:szCs w:val="36"/>
        </w:rPr>
        <w:t xml:space="preserve">Executive Summary</w:t>
      </w:r>
    </w:p>
    <w:p>
      <w:pPr>
        <w:spacing w:after="200" w:before="120"/>
        <w:jc w:val="both"/>
      </w:pPr>
      <w:r>
        <w:rPr>
          <w:rFonts w:ascii="Arial" w:cs="Arial" w:eastAsia="Arial" w:hAnsi="Arial"/>
          <w:i/>
          <w:iCs/>
          <w:color w:val="334155"/>
          <w:sz w:val="26"/>
          <w:szCs w:val="26"/>
        </w:rPr>
        <w:t xml:space="preserve">Enterprise IT operations are at an inflection point. The volume, velocity, and complexity of modern infrastructure has outpaced the capacity of human-driven and semi-automated tools. A new operational paradigm is required — one that acts, proves, and governs autonomously.</w:t>
      </w:r>
    </w:p>
    <w:p>
      <w:pPr>
        <w:spacing w:after="120" w:before="80"/>
        <w:jc w:val="both"/>
      </w:pPr>
      <w:r>
        <w:rPr>
          <w:rFonts w:ascii="Arial" w:cs="Arial" w:eastAsia="Arial" w:hAnsi="Arial"/>
          <w:color w:val="1E293B"/>
          <w:sz w:val="22"/>
          <w:szCs w:val="22"/>
        </w:rPr>
        <w:t xml:space="preserve">Unified Autonomous IT Operations (UAIO) is that paradigm. Defined and pioneered by iTechSmart Inc., UAIO closes the five-phase loop that traditional IT tools leave open: detecting anomalies, simulating remediation paths, deciding on action, executing the fix, and proving every step cryptographically.</w:t>
      </w:r>
    </w:p>
    <w:p>
      <w:pPr>
        <w:spacing w:after="120" w:before="80"/>
        <w:jc w:val="both"/>
      </w:pPr>
      <w:r>
        <w:rPr>
          <w:rFonts w:ascii="Arial" w:cs="Arial" w:eastAsia="Arial" w:hAnsi="Arial"/>
          <w:color w:val="1E293B"/>
          <w:sz w:val="22"/>
          <w:szCs w:val="22"/>
        </w:rPr>
        <w:t xml:space="preserve">This whitepaper establishes the UAIO category — its foundational requirements, its distinction from preceding approaches such as AIOps and traditional ITSM, and the business case for enterprise and government adoption. It serves as a definitive reference for technology buyers, procurement officers, and strategic decision-makers evaluating the next generation of infrastructure management.</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D28D9" w:sz="1"/>
              <w:left w:val="single" w:color="6D28D9" w:sz="16"/>
              <w:bottom w:val="single" w:color="6D28D9" w:sz="1"/>
              <w:right w:val="none" w:color="FFFFFF" w:sz="0"/>
            </w:tcBorders>
            <w:shd w:fill="EDE9FE" w:val="clear"/>
            <w:tcMar>
              <w:top w:type="dxa" w:w="160"/>
              <w:left w:type="dxa" w:w="240"/>
              <w:bottom w:type="dxa" w:w="160"/>
              <w:right w:type="dxa" w:w="240"/>
            </w:tcMar>
          </w:tcPr>
          <w:p>
            <w:pPr>
              <w:spacing w:after="60" w:before="0"/>
            </w:pPr>
            <w:r>
              <w:rPr>
                <w:rFonts w:ascii="Arial" w:cs="Arial" w:eastAsia="Arial" w:hAnsi="Arial"/>
                <w:b/>
                <w:bCs/>
                <w:caps/>
                <w:color w:val="6D28D9"/>
                <w:sz w:val="18"/>
                <w:szCs w:val="18"/>
              </w:rPr>
              <w:t xml:space="preserve">CATEGORY DEFINITION</w:t>
            </w:r>
          </w:p>
          <w:p>
            <w:pPr>
              <w:spacing w:after="0" w:before="0"/>
              <w:jc w:val="both"/>
            </w:pPr>
            <w:r>
              <w:rPr>
                <w:rFonts w:ascii="Arial" w:cs="Arial" w:eastAsia="Arial" w:hAnsi="Arial"/>
                <w:color w:val="1E293B"/>
                <w:sz w:val="22"/>
                <w:szCs w:val="22"/>
              </w:rPr>
              <w:t xml:space="preserve">UAIO is not a product feature — it is a new category of enterprise technology. Just as AIOps displaced reactive monitoring and ITSM replaced manual ticketing, UAIO displaces both by closing the full autonomous loop with cryptographic proof.</w:t>
            </w:r>
          </w:p>
        </w:tc>
      </w:tr>
    </w:tbl>
    <w:p>
      <w:pPr>
        <w:pStyle w:val="Heading1"/>
        <w:pBdr>
          <w:bottom w:val="single" w:color="6D28D9" w:sz="6" w:space="1"/>
        </w:pBdr>
        <w:spacing w:after="160" w:before="480"/>
      </w:pPr>
      <w:r>
        <w:rPr>
          <w:rFonts w:ascii="Arial" w:cs="Arial" w:eastAsia="Arial" w:hAnsi="Arial"/>
          <w:b/>
          <w:bCs/>
          <w:color w:val="1E293B"/>
          <w:sz w:val="36"/>
          <w:szCs w:val="36"/>
        </w:rPr>
        <w:t xml:space="preserve">1. The Problem with Current Approaches</w:t>
      </w:r>
    </w:p>
    <w:p>
      <w:pPr>
        <w:pStyle w:val="Heading2"/>
        <w:spacing w:after="120" w:before="320"/>
      </w:pPr>
      <w:r>
        <w:rPr>
          <w:rFonts w:ascii="Arial" w:cs="Arial" w:eastAsia="Arial" w:hAnsi="Arial"/>
          <w:b/>
          <w:bCs/>
          <w:color w:val="6D28D9"/>
          <w:sz w:val="26"/>
          <w:szCs w:val="26"/>
        </w:rPr>
        <w:t xml:space="preserve">1.1 The Scale Problem</w:t>
      </w:r>
    </w:p>
    <w:p>
      <w:pPr>
        <w:spacing w:after="120" w:before="80"/>
        <w:jc w:val="both"/>
      </w:pPr>
      <w:r>
        <w:rPr>
          <w:rFonts w:ascii="Arial" w:cs="Arial" w:eastAsia="Arial" w:hAnsi="Arial"/>
          <w:color w:val="1E293B"/>
          <w:sz w:val="22"/>
          <w:szCs w:val="22"/>
        </w:rPr>
        <w:t xml:space="preserve">Modern enterprise infrastructure spans thousands of endpoints, dozens of cloud environments, containerized microservices, and hybrid on-premise deployments. A mid-sized enterprise today generates millions of telemetry events per day. Legacy monitoring tools were not designed for this volume, and the result is alert fatigue, slow response times, and compounding technical debt.</w:t>
      </w:r>
    </w:p>
    <w:p>
      <w:pPr>
        <w:spacing w:after="120" w:before="80"/>
        <w:jc w:val="both"/>
      </w:pPr>
      <w:r>
        <w:rPr>
          <w:rFonts w:ascii="Arial" w:cs="Arial" w:eastAsia="Arial" w:hAnsi="Arial"/>
          <w:color w:val="1E293B"/>
          <w:sz w:val="22"/>
          <w:szCs w:val="22"/>
        </w:rPr>
        <w:t xml:space="preserve">Mean Time to Resolution (MTTR) for infrastructure incidents averages between four and eight hours for enterprises relying on traditional ITSM tooling. For organizations in regulated industries — healthcare, financial services, federal government — that window represents not just operational risk but direct regulatory exposure.</w:t>
      </w:r>
    </w:p>
    <w:p>
      <w:pPr>
        <w:pStyle w:val="Heading2"/>
        <w:spacing w:after="120" w:before="320"/>
      </w:pPr>
      <w:r>
        <w:rPr>
          <w:rFonts w:ascii="Arial" w:cs="Arial" w:eastAsia="Arial" w:hAnsi="Arial"/>
          <w:b/>
          <w:bCs/>
          <w:color w:val="6D28D9"/>
          <w:sz w:val="26"/>
          <w:szCs w:val="26"/>
        </w:rPr>
        <w:t xml:space="preserve">1.2 The Trust Problem</w:t>
      </w:r>
    </w:p>
    <w:p>
      <w:pPr>
        <w:spacing w:after="120" w:before="80"/>
        <w:jc w:val="both"/>
      </w:pPr>
      <w:r>
        <w:rPr>
          <w:rFonts w:ascii="Arial" w:cs="Arial" w:eastAsia="Arial" w:hAnsi="Arial"/>
          <w:color w:val="1E293B"/>
          <w:sz w:val="22"/>
          <w:szCs w:val="22"/>
        </w:rPr>
        <w:t xml:space="preserve">When an automated system takes action on critical infrastructure, two questions must be answerable at any future point: What did it do, and can we prove it? Current tools produce logs. Logs can be altered, deleted, or incomplete. They require human interpretation and provide no cryptographic guarantee of integrity.</w:t>
      </w:r>
    </w:p>
    <w:p>
      <w:pPr>
        <w:spacing w:after="120" w:before="80"/>
        <w:jc w:val="both"/>
      </w:pPr>
      <w:r>
        <w:rPr>
          <w:rFonts w:ascii="Arial" w:cs="Arial" w:eastAsia="Arial" w:hAnsi="Arial"/>
          <w:color w:val="1E293B"/>
          <w:sz w:val="22"/>
          <w:szCs w:val="22"/>
        </w:rPr>
        <w:t xml:space="preserve">For government agencies operating under FedRAMP, CMMC, or FISMA, and for healthcare organizations subject to HIPAA, the absence of tamper-proof operational records is a material compliance gap. Log files are not proof — they are artifacts that can be challenged. Cryptographic receipts cannot be.</w:t>
      </w:r>
    </w:p>
    <w:p>
      <w:pPr>
        <w:pStyle w:val="Heading2"/>
        <w:spacing w:after="120" w:before="320"/>
      </w:pPr>
      <w:r>
        <w:rPr>
          <w:rFonts w:ascii="Arial" w:cs="Arial" w:eastAsia="Arial" w:hAnsi="Arial"/>
          <w:b/>
          <w:bCs/>
          <w:color w:val="6D28D9"/>
          <w:sz w:val="26"/>
          <w:szCs w:val="26"/>
        </w:rPr>
        <w:t xml:space="preserve">1.3 The Governance Problem</w:t>
      </w:r>
    </w:p>
    <w:p>
      <w:pPr>
        <w:spacing w:after="120" w:before="80"/>
        <w:jc w:val="both"/>
      </w:pPr>
      <w:r>
        <w:rPr>
          <w:rFonts w:ascii="Arial" w:cs="Arial" w:eastAsia="Arial" w:hAnsi="Arial"/>
          <w:color w:val="1E293B"/>
          <w:sz w:val="22"/>
          <w:szCs w:val="22"/>
        </w:rPr>
        <w:t xml:space="preserve">The promise of automation creates a governance paradox: the more autonomous a system becomes, the more difficult it is to maintain meaningful human oversight. AIOps tools that recommend actions still require human execution. Fully automated tools that execute actions without governance gates are a liability in regulated environments.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D28D9" w:sz="1"/>
              <w:left w:val="single" w:color="6D28D9" w:sz="16"/>
              <w:bottom w:val="single" w:color="6D28D9" w:sz="1"/>
              <w:right w:val="none" w:color="FFFFFF" w:sz="0"/>
            </w:tcBorders>
            <w:shd w:fill="EDE9FE" w:val="clear"/>
            <w:tcMar>
              <w:top w:type="dxa" w:w="160"/>
              <w:left w:type="dxa" w:w="240"/>
              <w:bottom w:type="dxa" w:w="160"/>
              <w:right w:type="dxa" w:w="240"/>
            </w:tcMar>
          </w:tcPr>
          <w:p>
            <w:pPr>
              <w:spacing w:after="60" w:before="0"/>
            </w:pPr>
            <w:r>
              <w:rPr>
                <w:rFonts w:ascii="Arial" w:cs="Arial" w:eastAsia="Arial" w:hAnsi="Arial"/>
                <w:b/>
                <w:bCs/>
                <w:caps/>
                <w:color w:val="6D28D9"/>
                <w:sz w:val="18"/>
                <w:szCs w:val="18"/>
              </w:rPr>
              <w:t xml:space="preserve">ROOT CAUSE</w:t>
            </w:r>
          </w:p>
          <w:p>
            <w:pPr>
              <w:spacing w:after="0" w:before="0"/>
              <w:jc w:val="both"/>
            </w:pPr>
            <w:r>
              <w:rPr>
                <w:rFonts w:ascii="Arial" w:cs="Arial" w:eastAsia="Arial" w:hAnsi="Arial"/>
                <w:color w:val="1E293B"/>
                <w:sz w:val="22"/>
                <w:szCs w:val="22"/>
              </w:rPr>
              <w:t xml:space="preserve">The fundamental gap in today's IT operations tooling is not intelligence — it is proof. Organizations can detect and remediate incidents. They cannot prove, with cryptographic certainty, exactly what happened, when it happened, and that the record was never altered.</w:t>
            </w:r>
          </w:p>
        </w:tc>
      </w:tr>
    </w:tbl>
    <w:p>
      <w:pPr>
        <w:pStyle w:val="Heading1"/>
        <w:pBdr>
          <w:bottom w:val="single" w:color="6D28D9" w:sz="6" w:space="1"/>
        </w:pBdr>
        <w:spacing w:after="160" w:before="480"/>
      </w:pPr>
      <w:r>
        <w:rPr>
          <w:rFonts w:ascii="Arial" w:cs="Arial" w:eastAsia="Arial" w:hAnsi="Arial"/>
          <w:b/>
          <w:bCs/>
          <w:color w:val="1E293B"/>
          <w:sz w:val="36"/>
          <w:szCs w:val="36"/>
        </w:rPr>
        <w:t xml:space="preserve">2. Defining UAIO</w:t>
      </w:r>
    </w:p>
    <w:p>
      <w:pPr>
        <w:pStyle w:val="Heading2"/>
        <w:spacing w:after="120" w:before="320"/>
      </w:pPr>
      <w:r>
        <w:rPr>
          <w:rFonts w:ascii="Arial" w:cs="Arial" w:eastAsia="Arial" w:hAnsi="Arial"/>
          <w:b/>
          <w:bCs/>
          <w:color w:val="6D28D9"/>
          <w:sz w:val="26"/>
          <w:szCs w:val="26"/>
        </w:rPr>
        <w:t xml:space="preserve">2.1 The Five Non-Negotiable Requirements</w:t>
      </w:r>
    </w:p>
    <w:p>
      <w:pPr>
        <w:spacing w:after="120" w:before="80"/>
        <w:jc w:val="both"/>
      </w:pPr>
      <w:r>
        <w:rPr>
          <w:rFonts w:ascii="Arial" w:cs="Arial" w:eastAsia="Arial" w:hAnsi="Arial"/>
          <w:color w:val="1E293B"/>
          <w:sz w:val="22"/>
          <w:szCs w:val="22"/>
        </w:rPr>
        <w:t xml:space="preserve">A platform qualifies as a true UAIO implementation only when all five of the following requirements are met simultaneously. The absence of any one disqualifies it from the category.</w:t>
      </w:r>
    </w:p>
    <w:p>
      <w:pPr>
        <w:spacing w:after="0" w:before="80"/>
      </w:pPr>
      <w:r>
        <w:t xml:space="preserve"/>
      </w:r>
    </w:p>
    <w:p>
      <w:pPr>
        <w:pStyle w:val="Heading3"/>
        <w:spacing w:after="80" w:before="240"/>
      </w:pPr>
      <w:r>
        <w:rPr>
          <w:rFonts w:ascii="Arial" w:cs="Arial" w:eastAsia="Arial" w:hAnsi="Arial"/>
          <w:b/>
          <w:bCs/>
          <w:color w:val="1E293B"/>
          <w:sz w:val="22"/>
          <w:szCs w:val="22"/>
        </w:rPr>
        <w:t xml:space="preserve">Requirement 1: Autonomous Closed Loop</w:t>
      </w:r>
    </w:p>
    <w:p>
      <w:pPr>
        <w:spacing w:after="120" w:before="80"/>
        <w:jc w:val="both"/>
      </w:pPr>
      <w:r>
        <w:rPr>
          <w:rFonts w:ascii="Arial" w:cs="Arial" w:eastAsia="Arial" w:hAnsi="Arial"/>
          <w:color w:val="1E293B"/>
          <w:sz w:val="22"/>
          <w:szCs w:val="22"/>
        </w:rPr>
        <w:t xml:space="preserve">A UAIO platform must complete the full detect-analyze-resolve-report cycle without human intervention for non-governance-gated incidents. Partial automation — where the system recommends and a human executes — does not meet this requirement. The loop must close autonomously.</w:t>
      </w:r>
    </w:p>
    <w:p>
      <w:pPr>
        <w:pStyle w:val="Heading3"/>
        <w:spacing w:after="80" w:before="240"/>
      </w:pPr>
      <w:r>
        <w:rPr>
          <w:rFonts w:ascii="Arial" w:cs="Arial" w:eastAsia="Arial" w:hAnsi="Arial"/>
          <w:b/>
          <w:bCs/>
          <w:color w:val="1E293B"/>
          <w:sz w:val="22"/>
          <w:szCs w:val="22"/>
        </w:rPr>
        <w:t xml:space="preserve">Requirement 2: Cryptographic Proof of Every Action</w:t>
      </w:r>
    </w:p>
    <w:p>
      <w:pPr>
        <w:spacing w:after="120" w:before="80"/>
        <w:jc w:val="both"/>
      </w:pPr>
      <w:r>
        <w:rPr>
          <w:rFonts w:ascii="Arial" w:cs="Arial" w:eastAsia="Arial" w:hAnsi="Arial"/>
          <w:color w:val="1E293B"/>
          <w:sz w:val="22"/>
          <w:szCs w:val="22"/>
        </w:rPr>
        <w:t xml:space="preserve">Every configuration change, incident resolution, and autonomous decision must generate a cryptographic receipt. This receipt must be tamper-evident, independently verifiable without access to the originating system, and permanently recorded. Hash-based proof anchored to a unique identifier meets this requirement. Log files do not.</w:t>
      </w:r>
    </w:p>
    <w:p>
      <w:pPr>
        <w:pStyle w:val="Heading3"/>
        <w:spacing w:after="80" w:before="240"/>
      </w:pPr>
      <w:r>
        <w:rPr>
          <w:rFonts w:ascii="Arial" w:cs="Arial" w:eastAsia="Arial" w:hAnsi="Arial"/>
          <w:b/>
          <w:bCs/>
          <w:color w:val="1E293B"/>
          <w:sz w:val="22"/>
          <w:szCs w:val="22"/>
        </w:rPr>
        <w:t xml:space="preserve">Requirement 3: Human Governance Gates</w:t>
      </w:r>
    </w:p>
    <w:p>
      <w:pPr>
        <w:spacing w:after="120" w:before="80"/>
        <w:jc w:val="both"/>
      </w:pPr>
      <w:r>
        <w:rPr>
          <w:rFonts w:ascii="Arial" w:cs="Arial" w:eastAsia="Arial" w:hAnsi="Arial"/>
          <w:color w:val="1E293B"/>
          <w:sz w:val="22"/>
          <w:szCs w:val="22"/>
        </w:rPr>
        <w:t xml:space="preserve">UAIO is not ungoverned autonomy. Pre-defined governance gates must interrupt the autonomous loop at configurable points — strategic configuration changes, crisis-level escalations, cross-tenant operations, and any action exceeding a defined blast radius. The Arbiter engine enforces these gates.</w:t>
      </w:r>
    </w:p>
    <w:p>
      <w:pPr>
        <w:pStyle w:val="Heading3"/>
        <w:spacing w:after="80" w:before="240"/>
      </w:pPr>
      <w:r>
        <w:rPr>
          <w:rFonts w:ascii="Arial" w:cs="Arial" w:eastAsia="Arial" w:hAnsi="Arial"/>
          <w:b/>
          <w:bCs/>
          <w:color w:val="1E293B"/>
          <w:sz w:val="22"/>
          <w:szCs w:val="22"/>
        </w:rPr>
        <w:t xml:space="preserve">Requirement 4: Explainable AI (XAI)</w:t>
      </w:r>
    </w:p>
    <w:p>
      <w:pPr>
        <w:spacing w:after="120" w:before="80"/>
        <w:jc w:val="both"/>
      </w:pPr>
      <w:r>
        <w:rPr>
          <w:rFonts w:ascii="Arial" w:cs="Arial" w:eastAsia="Arial" w:hAnsi="Arial"/>
          <w:color w:val="1E293B"/>
          <w:sz w:val="22"/>
          <w:szCs w:val="22"/>
        </w:rPr>
        <w:t xml:space="preserve">Every autonomous decision must be explainable in plain language. A UAIO platform must be able to articulate, for any action taken: the signal that triggered it, the reasoning chain that produced the decision, the alternatives that were considered, and the expected outcome. Black-box AI does not qualify.</w:t>
      </w:r>
    </w:p>
    <w:p>
      <w:pPr>
        <w:pStyle w:val="Heading3"/>
        <w:spacing w:after="80" w:before="240"/>
      </w:pPr>
      <w:r>
        <w:rPr>
          <w:rFonts w:ascii="Arial" w:cs="Arial" w:eastAsia="Arial" w:hAnsi="Arial"/>
          <w:b/>
          <w:bCs/>
          <w:color w:val="1E293B"/>
          <w:sz w:val="22"/>
          <w:szCs w:val="22"/>
        </w:rPr>
        <w:t xml:space="preserve">Requirement 5: Mandatory Multi-Tenant Isolation</w:t>
      </w:r>
    </w:p>
    <w:p>
      <w:pPr>
        <w:spacing w:after="120" w:before="80"/>
        <w:jc w:val="both"/>
      </w:pPr>
      <w:r>
        <w:rPr>
          <w:rFonts w:ascii="Arial" w:cs="Arial" w:eastAsia="Arial" w:hAnsi="Arial"/>
          <w:color w:val="1E293B"/>
          <w:sz w:val="22"/>
          <w:szCs w:val="22"/>
        </w:rPr>
        <w:t xml:space="preserve">In any shared infrastructure deployment, tenant data, telemetry, and remediation actions must be isolated at the infrastructure layer — not just at the application layer. Cross-tenant data leakage, even read-only, is a disqualifying condition.</w:t>
      </w:r>
    </w:p>
    <w:p>
      <w:pPr>
        <w:spacing w:after="0" w:before="120"/>
      </w:pPr>
      <w:r>
        <w:t xml:space="preserve"/>
      </w:r>
    </w:p>
    <w:p>
      <w:pPr>
        <w:pStyle w:val="Heading2"/>
        <w:spacing w:after="120" w:before="320"/>
      </w:pPr>
      <w:r>
        <w:rPr>
          <w:rFonts w:ascii="Arial" w:cs="Arial" w:eastAsia="Arial" w:hAnsi="Arial"/>
          <w:b/>
          <w:bCs/>
          <w:color w:val="6D28D9"/>
          <w:sz w:val="26"/>
          <w:szCs w:val="26"/>
        </w:rPr>
        <w:t xml:space="preserve">2.2 UAIO vs. AIOps vs. Traditional ITSM</w:t>
      </w:r>
    </w:p>
    <w:p>
      <w:pPr>
        <w:spacing w:after="120" w:before="80"/>
        <w:jc w:val="both"/>
      </w:pPr>
      <w:r>
        <w:rPr>
          <w:rFonts w:ascii="Arial" w:cs="Arial" w:eastAsia="Arial" w:hAnsi="Arial"/>
          <w:color w:val="1E293B"/>
          <w:sz w:val="22"/>
          <w:szCs w:val="22"/>
        </w:rPr>
        <w:t xml:space="preserve">The following comparison illustrates the capability gap between UAIO and its predecessors across the dimensions that matter most to enterprise and government buyers. Note the addition of Wazuh SIEM integration and post-quantum cryptography — capabilities that distinguish iTechSmart from every competitor in the market.</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4C1D95" w:sz="1"/>
              <w:left w:val="single" w:color="4C1D95" w:sz="1"/>
              <w:bottom w:val="single" w:color="4C1D95" w:sz="1"/>
              <w:right w:val="single" w:color="4C1D95" w:sz="1"/>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Capability</w:t>
            </w:r>
          </w:p>
        </w:tc>
        <w:tc>
          <w:tcPr>
            <w:tcW w:type="dxa" w:w="2340"/>
            <w:tcBorders>
              <w:top w:val="single" w:color="4C1D95" w:sz="1"/>
              <w:left w:val="single" w:color="4C1D95" w:sz="1"/>
              <w:bottom w:val="single" w:color="4C1D95" w:sz="1"/>
              <w:right w:val="single" w:color="4C1D95" w:sz="1"/>
            </w:tcBorders>
            <w:shd w:fill="475569"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Traditional ITSM</w:t>
            </w:r>
          </w:p>
        </w:tc>
        <w:tc>
          <w:tcPr>
            <w:tcW w:type="dxa" w:w="2340"/>
            <w:tcBorders>
              <w:top w:val="single" w:color="4C1D95" w:sz="1"/>
              <w:left w:val="single" w:color="4C1D95" w:sz="1"/>
              <w:bottom w:val="single" w:color="4C1D95" w:sz="1"/>
              <w:right w:val="single" w:color="4C1D95" w:sz="1"/>
            </w:tcBorders>
            <w:shd w:fill="5B21D4"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AIOps</w:t>
            </w:r>
          </w:p>
        </w:tc>
        <w:tc>
          <w:tcPr>
            <w:tcW w:type="dxa" w:w="2340"/>
            <w:tcBorders>
              <w:top w:val="single" w:color="4C1D95" w:sz="1"/>
              <w:left w:val="single" w:color="4C1D95" w:sz="1"/>
              <w:bottom w:val="single" w:color="4C1D95" w:sz="1"/>
              <w:right w:val="single" w:color="4C1D95" w:sz="1"/>
            </w:tcBorders>
            <w:shd w:fill="0D9488"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iTechSmart UAIO</w:t>
            </w:r>
          </w:p>
        </w:tc>
      </w:tr>
      <w:tr>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bCs/>
                <w:color w:val="1E293B"/>
                <w:sz w:val="20"/>
                <w:szCs w:val="20"/>
              </w:rPr>
              <w:t xml:space="preserve">Autonomy Level</w:t>
            </w:r>
          </w:p>
        </w:tc>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Manual Workflows</w:t>
            </w:r>
          </w:p>
        </w:tc>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Partial Automation</w:t>
            </w:r>
          </w:p>
        </w:tc>
        <w:tc>
          <w:tcPr>
            <w:tcW w:type="dxa" w:w="2340"/>
            <w:tcBorders>
              <w:top w:val="single" w:color="CBD5E1" w:sz="1"/>
              <w:left w:val="single" w:color="CBD5E1" w:sz="1"/>
              <w:bottom w:val="single" w:color="CBD5E1" w:sz="1"/>
              <w:right w:val="single" w:color="CBD5E1" w:sz="1"/>
            </w:tcBorders>
            <w:shd w:fill="ECFDF5" w:val="clear"/>
            <w:tcMar>
              <w:top w:type="dxa" w:w="100"/>
              <w:left w:type="dxa" w:w="160"/>
              <w:bottom w:type="dxa" w:w="100"/>
              <w:right w:type="dxa" w:w="160"/>
            </w:tcMar>
          </w:tcPr>
          <w:p>
            <w:pPr>
              <w:jc w:val="center"/>
            </w:pPr>
            <w:r>
              <w:rPr>
                <w:rFonts w:ascii="Arial" w:cs="Arial" w:eastAsia="Arial" w:hAnsi="Arial"/>
                <w:b/>
                <w:bCs/>
                <w:color w:val="065F46"/>
                <w:sz w:val="20"/>
                <w:szCs w:val="20"/>
              </w:rPr>
              <w:t xml:space="preserve">Full Closed Loop</w:t>
            </w:r>
          </w:p>
        </w:tc>
      </w:tr>
      <w:tr>
        <w:tc>
          <w:tcPr>
            <w:tcW w:type="dxa" w:w="234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pPr>
              <w:jc w:val="center"/>
            </w:pPr>
            <w:r>
              <w:rPr>
                <w:rFonts w:ascii="Arial" w:cs="Arial" w:eastAsia="Arial" w:hAnsi="Arial"/>
                <w:b/>
                <w:bCs/>
                <w:color w:val="1E293B"/>
                <w:sz w:val="20"/>
                <w:szCs w:val="20"/>
              </w:rPr>
              <w:t xml:space="preserve">Security Assurance</w:t>
            </w:r>
          </w:p>
        </w:tc>
        <w:tc>
          <w:tcPr>
            <w:tcW w:type="dxa" w:w="234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Perimeter-Based</w:t>
            </w:r>
          </w:p>
        </w:tc>
        <w:tc>
          <w:tcPr>
            <w:tcW w:type="dxa" w:w="234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Traditional Encrypt</w:t>
            </w:r>
          </w:p>
        </w:tc>
        <w:tc>
          <w:tcPr>
            <w:tcW w:type="dxa" w:w="2340"/>
            <w:tcBorders>
              <w:top w:val="single" w:color="CBD5E1" w:sz="1"/>
              <w:left w:val="single" w:color="CBD5E1" w:sz="1"/>
              <w:bottom w:val="single" w:color="CBD5E1" w:sz="1"/>
              <w:right w:val="single" w:color="CBD5E1" w:sz="1"/>
            </w:tcBorders>
            <w:shd w:fill="F0FDF4" w:val="clear"/>
            <w:tcMar>
              <w:top w:type="dxa" w:w="100"/>
              <w:left w:type="dxa" w:w="160"/>
              <w:bottom w:type="dxa" w:w="100"/>
              <w:right w:type="dxa" w:w="160"/>
            </w:tcMar>
          </w:tcPr>
          <w:p>
            <w:pPr>
              <w:jc w:val="center"/>
            </w:pPr>
            <w:r>
              <w:rPr>
                <w:rFonts w:ascii="Arial" w:cs="Arial" w:eastAsia="Arial" w:hAnsi="Arial"/>
                <w:b/>
                <w:bCs/>
                <w:color w:val="065F46"/>
                <w:sz w:val="20"/>
                <w:szCs w:val="20"/>
              </w:rPr>
              <w:t xml:space="preserve">Post-Quantum Crypto</w:t>
            </w:r>
          </w:p>
        </w:tc>
      </w:tr>
      <w:tr>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bCs/>
                <w:color w:val="1E293B"/>
                <w:sz w:val="20"/>
                <w:szCs w:val="20"/>
              </w:rPr>
              <w:t xml:space="preserve">Governance Model</w:t>
            </w:r>
          </w:p>
        </w:tc>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Ticket-Based</w:t>
            </w:r>
          </w:p>
        </w:tc>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Ad-hoc Intervention</w:t>
            </w:r>
          </w:p>
        </w:tc>
        <w:tc>
          <w:tcPr>
            <w:tcW w:type="dxa" w:w="2340"/>
            <w:tcBorders>
              <w:top w:val="single" w:color="CBD5E1" w:sz="1"/>
              <w:left w:val="single" w:color="CBD5E1" w:sz="1"/>
              <w:bottom w:val="single" w:color="CBD5E1" w:sz="1"/>
              <w:right w:val="single" w:color="CBD5E1" w:sz="1"/>
            </w:tcBorders>
            <w:shd w:fill="ECFDF5" w:val="clear"/>
            <w:tcMar>
              <w:top w:type="dxa" w:w="100"/>
              <w:left w:type="dxa" w:w="160"/>
              <w:bottom w:type="dxa" w:w="100"/>
              <w:right w:type="dxa" w:w="160"/>
            </w:tcMar>
          </w:tcPr>
          <w:p>
            <w:pPr>
              <w:jc w:val="center"/>
            </w:pPr>
            <w:r>
              <w:rPr>
                <w:rFonts w:ascii="Arial" w:cs="Arial" w:eastAsia="Arial" w:hAnsi="Arial"/>
                <w:b/>
                <w:bCs/>
                <w:color w:val="065F46"/>
                <w:sz w:val="20"/>
                <w:szCs w:val="20"/>
              </w:rPr>
              <w:t xml:space="preserve">Defined Human Gates</w:t>
            </w:r>
          </w:p>
        </w:tc>
      </w:tr>
      <w:tr>
        <w:tc>
          <w:tcPr>
            <w:tcW w:type="dxa" w:w="234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pPr>
              <w:jc w:val="center"/>
            </w:pPr>
            <w:r>
              <w:rPr>
                <w:rFonts w:ascii="Arial" w:cs="Arial" w:eastAsia="Arial" w:hAnsi="Arial"/>
                <w:b/>
                <w:bCs/>
                <w:color w:val="1E293B"/>
                <w:sz w:val="20"/>
                <w:szCs w:val="20"/>
              </w:rPr>
              <w:t xml:space="preserve">AI Transparency</w:t>
            </w:r>
          </w:p>
        </w:tc>
        <w:tc>
          <w:tcPr>
            <w:tcW w:type="dxa" w:w="234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None</w:t>
            </w:r>
          </w:p>
        </w:tc>
        <w:tc>
          <w:tcPr>
            <w:tcW w:type="dxa" w:w="234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Limited Insights</w:t>
            </w:r>
          </w:p>
        </w:tc>
        <w:tc>
          <w:tcPr>
            <w:tcW w:type="dxa" w:w="2340"/>
            <w:tcBorders>
              <w:top w:val="single" w:color="CBD5E1" w:sz="1"/>
              <w:left w:val="single" w:color="CBD5E1" w:sz="1"/>
              <w:bottom w:val="single" w:color="CBD5E1" w:sz="1"/>
              <w:right w:val="single" w:color="CBD5E1" w:sz="1"/>
            </w:tcBorders>
            <w:shd w:fill="F0FDF4" w:val="clear"/>
            <w:tcMar>
              <w:top w:type="dxa" w:w="100"/>
              <w:left w:type="dxa" w:w="160"/>
              <w:bottom w:type="dxa" w:w="100"/>
              <w:right w:type="dxa" w:w="160"/>
            </w:tcMar>
          </w:tcPr>
          <w:p>
            <w:pPr>
              <w:jc w:val="center"/>
            </w:pPr>
            <w:r>
              <w:rPr>
                <w:rFonts w:ascii="Arial" w:cs="Arial" w:eastAsia="Arial" w:hAnsi="Arial"/>
                <w:b/>
                <w:bCs/>
                <w:color w:val="065F46"/>
                <w:sz w:val="20"/>
                <w:szCs w:val="20"/>
              </w:rPr>
              <w:t xml:space="preserve">Explainable AI (XAI)</w:t>
            </w:r>
          </w:p>
        </w:tc>
      </w:tr>
      <w:tr>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bCs/>
                <w:color w:val="1E293B"/>
                <w:sz w:val="20"/>
                <w:szCs w:val="20"/>
              </w:rPr>
              <w:t xml:space="preserve">Proof of Action</w:t>
            </w:r>
          </w:p>
        </w:tc>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Log Files</w:t>
            </w:r>
          </w:p>
        </w:tc>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Audit Reports</w:t>
            </w:r>
          </w:p>
        </w:tc>
        <w:tc>
          <w:tcPr>
            <w:tcW w:type="dxa" w:w="2340"/>
            <w:tcBorders>
              <w:top w:val="single" w:color="CBD5E1" w:sz="1"/>
              <w:left w:val="single" w:color="CBD5E1" w:sz="1"/>
              <w:bottom w:val="single" w:color="CBD5E1" w:sz="1"/>
              <w:right w:val="single" w:color="CBD5E1" w:sz="1"/>
            </w:tcBorders>
            <w:shd w:fill="ECFDF5" w:val="clear"/>
            <w:tcMar>
              <w:top w:type="dxa" w:w="100"/>
              <w:left w:type="dxa" w:w="160"/>
              <w:bottom w:type="dxa" w:w="100"/>
              <w:right w:type="dxa" w:w="160"/>
            </w:tcMar>
          </w:tcPr>
          <w:p>
            <w:pPr>
              <w:jc w:val="center"/>
            </w:pPr>
            <w:r>
              <w:rPr>
                <w:rFonts w:ascii="Arial" w:cs="Arial" w:eastAsia="Arial" w:hAnsi="Arial"/>
                <w:b/>
                <w:bCs/>
                <w:color w:val="065F46"/>
                <w:sz w:val="20"/>
                <w:szCs w:val="20"/>
              </w:rPr>
              <w:t xml:space="preserve">Cryptographic Receipts</w:t>
            </w:r>
          </w:p>
        </w:tc>
      </w:tr>
      <w:tr>
        <w:tc>
          <w:tcPr>
            <w:tcW w:type="dxa" w:w="234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pPr>
              <w:jc w:val="center"/>
            </w:pPr>
            <w:r>
              <w:rPr>
                <w:rFonts w:ascii="Arial" w:cs="Arial" w:eastAsia="Arial" w:hAnsi="Arial"/>
                <w:b/>
                <w:bCs/>
                <w:color w:val="1E293B"/>
                <w:sz w:val="20"/>
                <w:szCs w:val="20"/>
              </w:rPr>
              <w:t xml:space="preserve">Incident Response</w:t>
            </w:r>
          </w:p>
        </w:tc>
        <w:tc>
          <w:tcPr>
            <w:tcW w:type="dxa" w:w="234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Hours-Days</w:t>
            </w:r>
          </w:p>
        </w:tc>
        <w:tc>
          <w:tcPr>
            <w:tcW w:type="dxa" w:w="234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Minutes-Hours</w:t>
            </w:r>
          </w:p>
        </w:tc>
        <w:tc>
          <w:tcPr>
            <w:tcW w:type="dxa" w:w="2340"/>
            <w:tcBorders>
              <w:top w:val="single" w:color="CBD5E1" w:sz="1"/>
              <w:left w:val="single" w:color="CBD5E1" w:sz="1"/>
              <w:bottom w:val="single" w:color="CBD5E1" w:sz="1"/>
              <w:right w:val="single" w:color="CBD5E1" w:sz="1"/>
            </w:tcBorders>
            <w:shd w:fill="F0FDF4" w:val="clear"/>
            <w:tcMar>
              <w:top w:type="dxa" w:w="100"/>
              <w:left w:type="dxa" w:w="160"/>
              <w:bottom w:type="dxa" w:w="100"/>
              <w:right w:type="dxa" w:w="160"/>
            </w:tcMar>
          </w:tcPr>
          <w:p>
            <w:pPr>
              <w:jc w:val="center"/>
            </w:pPr>
            <w:r>
              <w:rPr>
                <w:rFonts w:ascii="Arial" w:cs="Arial" w:eastAsia="Arial" w:hAnsi="Arial"/>
                <w:b/>
                <w:bCs/>
                <w:color w:val="065F46"/>
                <w:sz w:val="20"/>
                <w:szCs w:val="20"/>
              </w:rPr>
              <w:t xml:space="preserve">&lt; 90 Seconds Autonomous</w:t>
            </w:r>
          </w:p>
        </w:tc>
      </w:tr>
      <w:tr>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bCs/>
                <w:color w:val="1E293B"/>
                <w:sz w:val="20"/>
                <w:szCs w:val="20"/>
              </w:rPr>
              <w:t xml:space="preserve">Compliance Overhead</w:t>
            </w:r>
          </w:p>
        </w:tc>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High Manual</w:t>
            </w:r>
          </w:p>
        </w:tc>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Partially Automated</w:t>
            </w:r>
          </w:p>
        </w:tc>
        <w:tc>
          <w:tcPr>
            <w:tcW w:type="dxa" w:w="2340"/>
            <w:tcBorders>
              <w:top w:val="single" w:color="CBD5E1" w:sz="1"/>
              <w:left w:val="single" w:color="CBD5E1" w:sz="1"/>
              <w:bottom w:val="single" w:color="CBD5E1" w:sz="1"/>
              <w:right w:val="single" w:color="CBD5E1" w:sz="1"/>
            </w:tcBorders>
            <w:shd w:fill="ECFDF5" w:val="clear"/>
            <w:tcMar>
              <w:top w:type="dxa" w:w="100"/>
              <w:left w:type="dxa" w:w="160"/>
              <w:bottom w:type="dxa" w:w="100"/>
              <w:right w:type="dxa" w:w="160"/>
            </w:tcMar>
          </w:tcPr>
          <w:p>
            <w:pPr>
              <w:jc w:val="center"/>
            </w:pPr>
            <w:r>
              <w:rPr>
                <w:rFonts w:ascii="Arial" w:cs="Arial" w:eastAsia="Arial" w:hAnsi="Arial"/>
                <w:b/>
                <w:bCs/>
                <w:color w:val="065F46"/>
                <w:sz w:val="20"/>
                <w:szCs w:val="20"/>
              </w:rPr>
              <w:t xml:space="preserve">90% Automated</w:t>
            </w:r>
          </w:p>
        </w:tc>
      </w:tr>
      <w:tr>
        <w:tc>
          <w:tcPr>
            <w:tcW w:type="dxa" w:w="234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pPr>
              <w:jc w:val="center"/>
            </w:pPr>
            <w:r>
              <w:rPr>
                <w:rFonts w:ascii="Arial" w:cs="Arial" w:eastAsia="Arial" w:hAnsi="Arial"/>
                <w:b/>
                <w:bCs/>
                <w:color w:val="1E293B"/>
                <w:sz w:val="20"/>
                <w:szCs w:val="20"/>
              </w:rPr>
              <w:t xml:space="preserve">SIEM Integration</w:t>
            </w:r>
          </w:p>
        </w:tc>
        <w:tc>
          <w:tcPr>
            <w:tcW w:type="dxa" w:w="234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Manual correlation</w:t>
            </w:r>
          </w:p>
        </w:tc>
        <w:tc>
          <w:tcPr>
            <w:tcW w:type="dxa" w:w="234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Limited</w:t>
            </w:r>
          </w:p>
        </w:tc>
        <w:tc>
          <w:tcPr>
            <w:tcW w:type="dxa" w:w="2340"/>
            <w:tcBorders>
              <w:top w:val="single" w:color="CBD5E1" w:sz="1"/>
              <w:left w:val="single" w:color="CBD5E1" w:sz="1"/>
              <w:bottom w:val="single" w:color="CBD5E1" w:sz="1"/>
              <w:right w:val="single" w:color="CBD5E1" w:sz="1"/>
            </w:tcBorders>
            <w:shd w:fill="F0FDF4" w:val="clear"/>
            <w:tcMar>
              <w:top w:type="dxa" w:w="100"/>
              <w:left w:type="dxa" w:w="160"/>
              <w:bottom w:type="dxa" w:w="100"/>
              <w:right w:type="dxa" w:w="160"/>
            </w:tcMar>
          </w:tcPr>
          <w:p>
            <w:pPr>
              <w:jc w:val="center"/>
            </w:pPr>
            <w:r>
              <w:rPr>
                <w:rFonts w:ascii="Arial" w:cs="Arial" w:eastAsia="Arial" w:hAnsi="Arial"/>
                <w:b/>
                <w:bCs/>
                <w:color w:val="065F46"/>
                <w:sz w:val="20"/>
                <w:szCs w:val="20"/>
              </w:rPr>
              <w:t xml:space="preserve">Wazuh SIEM — native</w:t>
            </w:r>
          </w:p>
        </w:tc>
      </w:tr>
      <w:tr>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bCs/>
                <w:color w:val="1E293B"/>
                <w:sz w:val="20"/>
                <w:szCs w:val="20"/>
              </w:rPr>
              <w:t xml:space="preserve">Multi-Tenant</w:t>
            </w:r>
          </w:p>
        </w:tc>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Variable</w:t>
            </w:r>
          </w:p>
        </w:tc>
        <w:tc>
          <w:tcPr>
            <w:tcW w:type="dxa" w:w="234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pPr>
              <w:jc w:val="center"/>
            </w:pPr>
            <w:r>
              <w:rPr>
                <w:rFonts w:ascii="Arial" w:cs="Arial" w:eastAsia="Arial" w:hAnsi="Arial"/>
                <w:b w:val="false"/>
                <w:bCs w:val="false"/>
                <w:color w:val="1E293B"/>
                <w:sz w:val="20"/>
                <w:szCs w:val="20"/>
              </w:rPr>
              <w:t xml:space="preserve">Limited Isolation</w:t>
            </w:r>
          </w:p>
        </w:tc>
        <w:tc>
          <w:tcPr>
            <w:tcW w:type="dxa" w:w="2340"/>
            <w:tcBorders>
              <w:top w:val="single" w:color="CBD5E1" w:sz="1"/>
              <w:left w:val="single" w:color="CBD5E1" w:sz="1"/>
              <w:bottom w:val="single" w:color="CBD5E1" w:sz="1"/>
              <w:right w:val="single" w:color="CBD5E1" w:sz="1"/>
            </w:tcBorders>
            <w:shd w:fill="ECFDF5" w:val="clear"/>
            <w:tcMar>
              <w:top w:type="dxa" w:w="100"/>
              <w:left w:type="dxa" w:w="160"/>
              <w:bottom w:type="dxa" w:w="100"/>
              <w:right w:type="dxa" w:w="160"/>
            </w:tcMar>
          </w:tcPr>
          <w:p>
            <w:pPr>
              <w:jc w:val="center"/>
            </w:pPr>
            <w:r>
              <w:rPr>
                <w:rFonts w:ascii="Arial" w:cs="Arial" w:eastAsia="Arial" w:hAnsi="Arial"/>
                <w:b/>
                <w:bCs/>
                <w:color w:val="065F46"/>
                <w:sz w:val="20"/>
                <w:szCs w:val="20"/>
              </w:rPr>
              <w:t xml:space="preserve">Mandatory Isolation</w:t>
            </w:r>
          </w:p>
        </w:tc>
      </w:tr>
    </w:tbl>
    <w:p>
      <w:pPr>
        <w:spacing w:after="0" w:before="160"/>
      </w:pPr>
      <w:r>
        <w:t xml:space="preserve"/>
      </w:r>
    </w:p>
    <w:p>
      <w:pPr>
        <w:spacing w:after="120" w:before="80"/>
        <w:jc w:val="both"/>
      </w:pPr>
      <w:r>
        <w:rPr>
          <w:rFonts w:ascii="Arial" w:cs="Arial" w:eastAsia="Arial" w:hAnsi="Arial"/>
          <w:color w:val="1E293B"/>
          <w:sz w:val="22"/>
          <w:szCs w:val="22"/>
        </w:rPr>
        <w:t xml:space="preserve">The critical distinction is not in any single column — it is in the combination. AIOps adds intelligence to monitoring. UAIO adds autonomy, proof, and governance to the entire operational lifecycle. And now with Wazuh SIEM natively integrated, iTechSmart feeds live threat intelligence directly into the autonomous loop.</w:t>
      </w:r>
    </w:p>
    <w:p>
      <w:pPr>
        <w:pStyle w:val="Heading1"/>
        <w:pBdr>
          <w:bottom w:val="single" w:color="6D28D9" w:sz="6" w:space="1"/>
        </w:pBdr>
        <w:spacing w:after="160" w:before="480"/>
      </w:pPr>
      <w:r>
        <w:rPr>
          <w:rFonts w:ascii="Arial" w:cs="Arial" w:eastAsia="Arial" w:hAnsi="Arial"/>
          <w:b/>
          <w:bCs/>
          <w:color w:val="1E293B"/>
          <w:sz w:val="36"/>
          <w:szCs w:val="36"/>
        </w:rPr>
        <w:t xml:space="preserve">3. The Differentiator: Receipts-First Governance</w:t>
      </w:r>
    </w:p>
    <w:p>
      <w:pPr>
        <w:spacing w:after="200" w:before="120"/>
        <w:jc w:val="both"/>
      </w:pPr>
      <w:r>
        <w:rPr>
          <w:rFonts w:ascii="Arial" w:cs="Arial" w:eastAsia="Arial" w:hAnsi="Arial"/>
          <w:i/>
          <w:iCs/>
          <w:color w:val="334155"/>
          <w:sz w:val="26"/>
          <w:szCs w:val="26"/>
        </w:rPr>
        <w:t xml:space="preserve">Every enterprise claims auditability. UAIO delivers provability. The distinction is not semantic — it is the difference between documentation that can be questioned and cryptographic proof that cannot.</w:t>
      </w:r>
    </w:p>
    <w:p>
      <w:pPr>
        <w:pStyle w:val="Heading2"/>
        <w:spacing w:after="120" w:before="320"/>
      </w:pPr>
      <w:r>
        <w:rPr>
          <w:rFonts w:ascii="Arial" w:cs="Arial" w:eastAsia="Arial" w:hAnsi="Arial"/>
          <w:b/>
          <w:bCs/>
          <w:color w:val="6D28D9"/>
          <w:sz w:val="26"/>
          <w:szCs w:val="26"/>
        </w:rPr>
        <w:t xml:space="preserve">3.1 What a Cryptographic Receipt Contains</w:t>
      </w:r>
    </w:p>
    <w:p>
      <w:pPr>
        <w:spacing w:after="120" w:before="80"/>
        <w:jc w:val="both"/>
      </w:pPr>
      <w:r>
        <w:rPr>
          <w:rFonts w:ascii="Arial" w:cs="Arial" w:eastAsia="Arial" w:hAnsi="Arial"/>
          <w:color w:val="1E293B"/>
          <w:sz w:val="22"/>
          <w:szCs w:val="22"/>
        </w:rPr>
        <w:t xml:space="preserve">When a UAIO platform takes any action — restarting a service, applying a patch, isolating a compromised endpoint, or escalating an incident — it generates a receipt containing:</w:t>
      </w:r>
    </w:p>
    <w:p>
      <w:pPr>
        <w:pStyle w:val="ListParagraph"/>
        <w:numPr>
          <w:ilvl w:val="0"/>
          <w:numId w:val="2"/>
        </w:numPr>
        <w:spacing w:after="60" w:before="60"/>
      </w:pPr>
      <w:r>
        <w:rPr>
          <w:rFonts w:ascii="Arial" w:cs="Arial" w:eastAsia="Arial" w:hAnsi="Arial"/>
          <w:color w:val="1E293B"/>
          <w:sz w:val="22"/>
          <w:szCs w:val="22"/>
        </w:rPr>
        <w:t xml:space="preserve">A unique proof identifier — short, human-readable, and globally unique</w:t>
      </w:r>
    </w:p>
    <w:p>
      <w:pPr>
        <w:pStyle w:val="ListParagraph"/>
        <w:numPr>
          <w:ilvl w:val="0"/>
          <w:numId w:val="2"/>
        </w:numPr>
        <w:spacing w:after="60" w:before="60"/>
      </w:pPr>
      <w:r>
        <w:rPr>
          <w:rFonts w:ascii="Arial" w:cs="Arial" w:eastAsia="Arial" w:hAnsi="Arial"/>
          <w:color w:val="1E293B"/>
          <w:sz w:val="22"/>
          <w:szCs w:val="22"/>
        </w:rPr>
        <w:t xml:space="preserve">The SHA-256 hash of the full action payload — including timestamp, affected resource, action taken, and outcome</w:t>
      </w:r>
    </w:p>
    <w:p>
      <w:pPr>
        <w:pStyle w:val="ListParagraph"/>
        <w:numPr>
          <w:ilvl w:val="0"/>
          <w:numId w:val="2"/>
        </w:numPr>
        <w:spacing w:after="60" w:before="60"/>
      </w:pPr>
      <w:r>
        <w:rPr>
          <w:rFonts w:ascii="Arial" w:cs="Arial" w:eastAsia="Arial" w:hAnsi="Arial"/>
          <w:color w:val="1E293B"/>
          <w:sz w:val="22"/>
          <w:szCs w:val="22"/>
        </w:rPr>
        <w:t xml:space="preserve">A tamper-detection flag — any post-hoc modification to the underlying record is immediately detectable</w:t>
      </w:r>
    </w:p>
    <w:p>
      <w:pPr>
        <w:pStyle w:val="ListParagraph"/>
        <w:numPr>
          <w:ilvl w:val="0"/>
          <w:numId w:val="2"/>
        </w:numPr>
        <w:spacing w:after="60" w:before="60"/>
      </w:pPr>
      <w:r>
        <w:rPr>
          <w:rFonts w:ascii="Arial" w:cs="Arial" w:eastAsia="Arial" w:hAnsi="Arial"/>
          <w:color w:val="1E293B"/>
          <w:sz w:val="22"/>
          <w:szCs w:val="22"/>
        </w:rPr>
        <w:t xml:space="preserve">A publicly verifiable URL — the receipt can be authenticated by any party without access to internal systems</w:t>
      </w:r>
    </w:p>
    <w:p>
      <w:pPr>
        <w:pStyle w:val="ListParagraph"/>
        <w:numPr>
          <w:ilvl w:val="0"/>
          <w:numId w:val="2"/>
        </w:numPr>
        <w:spacing w:after="60" w:before="60"/>
      </w:pPr>
      <w:r>
        <w:rPr>
          <w:rFonts w:ascii="Arial" w:cs="Arial" w:eastAsia="Arial" w:hAnsi="Arial"/>
          <w:color w:val="1E293B"/>
          <w:sz w:val="22"/>
          <w:szCs w:val="22"/>
        </w:rPr>
        <w:t xml:space="preserve">Chain linkage — each receipt references its predecessor, creating an immutable audit chain</w:t>
      </w:r>
    </w:p>
    <w:p>
      <w:pPr>
        <w:spacing w:after="0" w:before="80"/>
      </w:pPr>
      <w:r>
        <w:t xml:space="preserve"/>
      </w:r>
    </w:p>
    <w:p>
      <w:pPr>
        <w:spacing w:after="120" w:before="80"/>
        <w:jc w:val="both"/>
      </w:pPr>
      <w:r>
        <w:rPr>
          <w:rFonts w:ascii="Arial" w:cs="Arial" w:eastAsia="Arial" w:hAnsi="Arial"/>
          <w:color w:val="1E293B"/>
          <w:sz w:val="22"/>
          <w:szCs w:val="22"/>
        </w:rPr>
        <w:t xml:space="preserve">This receipt model transforms operational proof from an internal claim into an external, verifiable fact. For compliance auditors, this means audit preparation time drops by up to 75%. For legal and regulatory proceedings, it means operational records that carry the same evidentiary weight as digitally signed documents.</w:t>
      </w:r>
    </w:p>
    <w:p>
      <w:pPr>
        <w:pStyle w:val="Heading2"/>
        <w:spacing w:after="120" w:before="320"/>
      </w:pPr>
      <w:r>
        <w:rPr>
          <w:rFonts w:ascii="Arial" w:cs="Arial" w:eastAsia="Arial" w:hAnsi="Arial"/>
          <w:b/>
          <w:bCs/>
          <w:color w:val="6D28D9"/>
          <w:sz w:val="26"/>
          <w:szCs w:val="26"/>
        </w:rPr>
        <w:t xml:space="preserve">3.2 Why Logs Are Not Enough</w:t>
      </w:r>
    </w:p>
    <w:p>
      <w:pPr>
        <w:spacing w:after="120" w:before="80"/>
        <w:jc w:val="both"/>
      </w:pPr>
      <w:r>
        <w:rPr>
          <w:rFonts w:ascii="Arial" w:cs="Arial" w:eastAsia="Arial" w:hAnsi="Arial"/>
          <w:color w:val="1E293B"/>
          <w:sz w:val="22"/>
          <w:szCs w:val="22"/>
        </w:rPr>
        <w:t xml:space="preserve">Log files are the current standard for operational auditing. They are also the weakest link in the audit chain. Logs can be deleted, overwritten, selectively retained, or modified by a sufficiently privileged actor. They require human interpretation to produce a coherent event timeline. They do not provide independent verifiability — a log file is only as trustworthy as the system that generated it.</w:t>
      </w:r>
    </w:p>
    <w:p>
      <w:pPr>
        <w:spacing w:after="120" w:before="80"/>
        <w:jc w:val="both"/>
      </w:pPr>
      <w:r>
        <w:rPr>
          <w:rFonts w:ascii="Arial" w:cs="Arial" w:eastAsia="Arial" w:hAnsi="Arial"/>
          <w:color w:val="1E293B"/>
          <w:sz w:val="22"/>
          <w:szCs w:val="22"/>
        </w:rPr>
        <w:t xml:space="preserve">Cryptographic receipts eliminate these weaknesses. The hash is computed at the moment of action. Any subsequent modification to the underlying record produces a hash mismatch that is immediately detectable. The receipt can be verified by any party using the public endpoint, without access to internal systems or log aggregators.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D28D9" w:sz="1"/>
              <w:left w:val="single" w:color="6D28D9" w:sz="16"/>
              <w:bottom w:val="single" w:color="6D28D9" w:sz="1"/>
              <w:right w:val="none" w:color="FFFFFF" w:sz="0"/>
            </w:tcBorders>
            <w:shd w:fill="EDE9FE" w:val="clear"/>
            <w:tcMar>
              <w:top w:type="dxa" w:w="160"/>
              <w:left w:type="dxa" w:w="240"/>
              <w:bottom w:type="dxa" w:w="160"/>
              <w:right w:type="dxa" w:w="240"/>
            </w:tcMar>
          </w:tcPr>
          <w:p>
            <w:pPr>
              <w:spacing w:after="60" w:before="0"/>
            </w:pPr>
            <w:r>
              <w:rPr>
                <w:rFonts w:ascii="Arial" w:cs="Arial" w:eastAsia="Arial" w:hAnsi="Arial"/>
                <w:b/>
                <w:bCs/>
                <w:caps/>
                <w:color w:val="6D28D9"/>
                <w:sz w:val="18"/>
                <w:szCs w:val="18"/>
              </w:rPr>
              <w:t xml:space="preserve">BUYER TEST</w:t>
            </w:r>
          </w:p>
          <w:p>
            <w:pPr>
              <w:spacing w:after="0" w:before="0"/>
              <w:jc w:val="both"/>
            </w:pPr>
            <w:r>
              <w:rPr>
                <w:rFonts w:ascii="Arial" w:cs="Arial" w:eastAsia="Arial" w:hAnsi="Arial"/>
                <w:color w:val="1E293B"/>
                <w:sz w:val="22"/>
                <w:szCs w:val="22"/>
              </w:rPr>
              <w:t xml:space="preserve">The simplest UAIO evaluation test: ask the vendor to run a remediation action in your environment and hand you the receipt hash. Verify it yourself at their public endpoint — without asking them for anything else. If the receipt does not resolve independently, you do not have a UAIO platform.</w:t>
            </w:r>
          </w:p>
        </w:tc>
      </w:tr>
    </w:tbl>
    <w:p>
      <w:pPr>
        <w:pStyle w:val="Heading2"/>
        <w:spacing w:after="120" w:before="320"/>
      </w:pPr>
      <w:r>
        <w:rPr>
          <w:rFonts w:ascii="Arial" w:cs="Arial" w:eastAsia="Arial" w:hAnsi="Arial"/>
          <w:b/>
          <w:bCs/>
          <w:color w:val="6D28D9"/>
          <w:sz w:val="26"/>
          <w:szCs w:val="26"/>
        </w:rPr>
        <w:t xml:space="preserve">3.3 ProofLink: The Public Verification Layer</w:t>
      </w:r>
    </w:p>
    <w:p>
      <w:pPr>
        <w:spacing w:after="120" w:before="80"/>
        <w:jc w:val="both"/>
      </w:pPr>
      <w:r>
        <w:rPr>
          <w:rFonts w:ascii="Arial" w:cs="Arial" w:eastAsia="Arial" w:hAnsi="Arial"/>
          <w:color w:val="1E293B"/>
          <w:sz w:val="22"/>
          <w:szCs w:val="22"/>
        </w:rPr>
        <w:t xml:space="preserve">iTechSmart's ProofLink infrastructure serves as the public verification layer for UAIO receipts. Any receipt generated by a UAIO-compliant deployment can be verified at itechsmart.dev/verify using only the receipt hash. No credentials, no internal access, no third-party intermediary.</w:t>
      </w:r>
    </w:p>
    <w:p>
      <w:pPr>
        <w:spacing w:after="120" w:before="80"/>
        <w:jc w:val="both"/>
      </w:pPr>
      <w:r>
        <w:rPr>
          <w:rFonts w:ascii="Arial" w:cs="Arial" w:eastAsia="Arial" w:hAnsi="Arial"/>
          <w:color w:val="1E293B"/>
          <w:sz w:val="22"/>
          <w:szCs w:val="22"/>
        </w:rPr>
        <w:t xml:space="preserve">ProofLink supports enterprise integrations via REST API, enabling organizations to embed receipt verification into existing compliance workflows, GRC platforms, and audit management systems. Air-gapped deployments (Citadel) support offline receipt chains with deferred synchronization.</w:t>
      </w:r>
    </w:p>
    <w:p>
      <w:pPr>
        <w:pStyle w:val="Heading1"/>
        <w:pBdr>
          <w:bottom w:val="single" w:color="6D28D9" w:sz="6" w:space="1"/>
        </w:pBdr>
        <w:spacing w:after="160" w:before="480"/>
      </w:pPr>
      <w:r>
        <w:rPr>
          <w:rFonts w:ascii="Arial" w:cs="Arial" w:eastAsia="Arial" w:hAnsi="Arial"/>
          <w:b/>
          <w:bCs/>
          <w:color w:val="1E293B"/>
          <w:sz w:val="36"/>
          <w:szCs w:val="36"/>
        </w:rPr>
        <w:t xml:space="preserve">4. The iTechSmart UAIO Platform</w:t>
      </w:r>
    </w:p>
    <w:p>
      <w:pPr>
        <w:pStyle w:val="Heading2"/>
        <w:spacing w:after="120" w:before="320"/>
      </w:pPr>
      <w:r>
        <w:rPr>
          <w:rFonts w:ascii="Arial" w:cs="Arial" w:eastAsia="Arial" w:hAnsi="Arial"/>
          <w:b/>
          <w:bCs/>
          <w:color w:val="6D28D9"/>
          <w:sz w:val="26"/>
          <w:szCs w:val="26"/>
        </w:rPr>
        <w:t xml:space="preserve">4.1 The Five-Phase Autonomous Loop</w:t>
      </w:r>
    </w:p>
    <w:p>
      <w:pPr>
        <w:spacing w:after="120" w:before="80"/>
        <w:jc w:val="both"/>
      </w:pPr>
      <w:r>
        <w:rPr>
          <w:rFonts w:ascii="Arial" w:cs="Arial" w:eastAsia="Arial" w:hAnsi="Arial"/>
          <w:color w:val="1E293B"/>
          <w:sz w:val="22"/>
          <w:szCs w:val="22"/>
        </w:rPr>
        <w:t xml:space="preserve">The iTechSmart UAIO platform implements the five-phase autonomous loop as a fully integrated, containerized architecture running across 124 production-tagged Docker containers and 84 microservices. Each phase is executed by purpose-built components that communicate via the platform's internal message bus, with OctoAI serving as the cognitive orchestration layer.</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4C1D95" w:sz="1"/>
              <w:left w:val="single" w:color="4C1D95" w:sz="1"/>
              <w:bottom w:val="single" w:color="4C1D95" w:sz="1"/>
              <w:right w:val="single" w:color="4C1D95" w:sz="1"/>
            </w:tcBorders>
            <w:shd w:fill="4C1D95" w:val="clear"/>
            <w:tcMar>
              <w:top w:type="dxa" w:w="120"/>
              <w:left w:type="dxa" w:w="160"/>
              <w:bottom w:type="dxa" w:w="120"/>
              <w:right w:type="dxa" w:w="160"/>
            </w:tcMar>
          </w:tcPr>
          <w:p>
            <w:r>
              <w:rPr>
                <w:rFonts w:ascii="Arial" w:cs="Arial" w:eastAsia="Arial" w:hAnsi="Arial"/>
                <w:b/>
                <w:bCs/>
                <w:color w:val="FFFFFF"/>
                <w:sz w:val="20"/>
                <w:szCs w:val="20"/>
              </w:rPr>
              <w:t xml:space="preserve">UAIO Phase</w:t>
            </w:r>
          </w:p>
        </w:tc>
        <w:tc>
          <w:tcPr>
            <w:tcW w:type="dxa" w:w="4680"/>
            <w:tcBorders>
              <w:top w:val="single" w:color="4C1D95" w:sz="1"/>
              <w:left w:val="single" w:color="4C1D95" w:sz="1"/>
              <w:bottom w:val="single" w:color="4C1D95" w:sz="1"/>
              <w:right w:val="single" w:color="4C1D95" w:sz="1"/>
            </w:tcBorders>
            <w:shd w:fill="4C1D95" w:val="clear"/>
            <w:tcMar>
              <w:top w:type="dxa" w:w="120"/>
              <w:left w:type="dxa" w:w="160"/>
              <w:bottom w:type="dxa" w:w="120"/>
              <w:right w:type="dxa" w:w="160"/>
            </w:tcMar>
          </w:tcPr>
          <w:p>
            <w:r>
              <w:rPr>
                <w:rFonts w:ascii="Arial" w:cs="Arial" w:eastAsia="Arial" w:hAnsi="Arial"/>
                <w:b/>
                <w:bCs/>
                <w:color w:val="FFFFFF"/>
                <w:sz w:val="20"/>
                <w:szCs w:val="20"/>
              </w:rPr>
              <w:t xml:space="preserve">Function &amp; Technology</w:t>
            </w:r>
          </w:p>
        </w:tc>
      </w:tr>
      <w:tr>
        <w:tc>
          <w:tcPr>
            <w:tcW w:type="dxa" w:w="468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r>
              <w:rPr>
                <w:rFonts w:ascii="Arial" w:cs="Arial" w:eastAsia="Arial" w:hAnsi="Arial"/>
                <w:b/>
                <w:bCs/>
                <w:color w:val="6D28D9"/>
                <w:sz w:val="22"/>
                <w:szCs w:val="22"/>
              </w:rPr>
              <w:t xml:space="preserve">Phase 1 — Detect</w:t>
            </w:r>
          </w:p>
        </w:tc>
        <w:tc>
          <w:tcPr>
            <w:tcW w:type="dxa" w:w="468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r>
              <w:rPr>
                <w:rFonts w:ascii="Arial" w:cs="Arial" w:eastAsia="Arial" w:hAnsi="Arial"/>
                <w:color w:val="1E293B"/>
                <w:sz w:val="20"/>
                <w:szCs w:val="20"/>
              </w:rPr>
              <w:t xml:space="preserve">Pulse Scanner ingests real-time telemetry. Wazuh SIEM feeds live threat events. Signal Cortex identifies anomalies in seconds.</w:t>
            </w:r>
          </w:p>
        </w:tc>
      </w:tr>
      <w:tr>
        <w:tc>
          <w:tcPr>
            <w:tcW w:type="dxa" w:w="468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6D28D9"/>
                <w:sz w:val="22"/>
                <w:szCs w:val="22"/>
              </w:rPr>
              <w:t xml:space="preserve">Phase 2 — Simulate</w:t>
            </w:r>
          </w:p>
        </w:tc>
        <w:tc>
          <w:tcPr>
            <w:tcW w:type="dxa" w:w="468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color w:val="1E293B"/>
                <w:sz w:val="20"/>
                <w:szCs w:val="20"/>
              </w:rPr>
              <w:t xml:space="preserve">Digital Twin models the environment, predicts blast radius, and stress-tests remediation scenarios before any action is taken.</w:t>
            </w:r>
          </w:p>
        </w:tc>
      </w:tr>
      <w:tr>
        <w:tc>
          <w:tcPr>
            <w:tcW w:type="dxa" w:w="468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r>
              <w:rPr>
                <w:rFonts w:ascii="Arial" w:cs="Arial" w:eastAsia="Arial" w:hAnsi="Arial"/>
                <w:b/>
                <w:bCs/>
                <w:color w:val="6D28D9"/>
                <w:sz w:val="22"/>
                <w:szCs w:val="22"/>
              </w:rPr>
              <w:t xml:space="preserve">Phase 3 — Decide</w:t>
            </w:r>
          </w:p>
        </w:tc>
        <w:tc>
          <w:tcPr>
            <w:tcW w:type="dxa" w:w="468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r>
              <w:rPr>
                <w:rFonts w:ascii="Arial" w:cs="Arial" w:eastAsia="Arial" w:hAnsi="Arial"/>
                <w:color w:val="1E293B"/>
                <w:sz w:val="20"/>
                <w:szCs w:val="20"/>
              </w:rPr>
              <w:t xml:space="preserve">OctoAI's 7-layer cognitive engine evaluates root cause, selects optimal path, and routes critical decisions to The Arbiter governance gate.</w:t>
            </w:r>
          </w:p>
        </w:tc>
      </w:tr>
      <w:tr>
        <w:tc>
          <w:tcPr>
            <w:tcW w:type="dxa" w:w="468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b/>
                <w:bCs/>
                <w:color w:val="6D28D9"/>
                <w:sz w:val="22"/>
                <w:szCs w:val="22"/>
              </w:rPr>
              <w:t xml:space="preserve">Phase 4 — Fix</w:t>
            </w:r>
          </w:p>
        </w:tc>
        <w:tc>
          <w:tcPr>
            <w:tcW w:type="dxa" w:w="4680"/>
            <w:tcBorders>
              <w:top w:val="single" w:color="CBD5E1" w:sz="1"/>
              <w:left w:val="single" w:color="CBD5E1" w:sz="1"/>
              <w:bottom w:val="single" w:color="CBD5E1" w:sz="1"/>
              <w:right w:val="single" w:color="CBD5E1" w:sz="1"/>
            </w:tcBorders>
            <w:shd w:fill="FFFFFF" w:val="clear"/>
            <w:tcMar>
              <w:top w:type="dxa" w:w="100"/>
              <w:left w:type="dxa" w:w="160"/>
              <w:bottom w:type="dxa" w:w="100"/>
              <w:right w:type="dxa" w:w="160"/>
            </w:tcMar>
          </w:tcPr>
          <w:p>
            <w:r>
              <w:rPr>
                <w:rFonts w:ascii="Arial" w:cs="Arial" w:eastAsia="Arial" w:hAnsi="Arial"/>
                <w:color w:val="1E293B"/>
                <w:sz w:val="20"/>
                <w:szCs w:val="20"/>
              </w:rPr>
              <w:t xml:space="preserve">Autonomous agents execute the approved remediation plan across affected infrastructure with full rollback capability.</w:t>
            </w:r>
          </w:p>
        </w:tc>
      </w:tr>
      <w:tr>
        <w:tc>
          <w:tcPr>
            <w:tcW w:type="dxa" w:w="468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r>
              <w:rPr>
                <w:rFonts w:ascii="Arial" w:cs="Arial" w:eastAsia="Arial" w:hAnsi="Arial"/>
                <w:b/>
                <w:bCs/>
                <w:color w:val="6D28D9"/>
                <w:sz w:val="22"/>
                <w:szCs w:val="22"/>
              </w:rPr>
              <w:t xml:space="preserve">Phase 5 — Prove</w:t>
            </w:r>
          </w:p>
        </w:tc>
        <w:tc>
          <w:tcPr>
            <w:tcW w:type="dxa" w:w="4680"/>
            <w:tcBorders>
              <w:top w:val="single" w:color="CBD5E1" w:sz="1"/>
              <w:left w:val="single" w:color="CBD5E1" w:sz="1"/>
              <w:bottom w:val="single" w:color="CBD5E1" w:sz="1"/>
              <w:right w:val="single" w:color="CBD5E1" w:sz="1"/>
            </w:tcBorders>
            <w:shd w:fill="F1F5F9" w:val="clear"/>
            <w:tcMar>
              <w:top w:type="dxa" w:w="100"/>
              <w:left w:type="dxa" w:w="160"/>
              <w:bottom w:type="dxa" w:w="100"/>
              <w:right w:type="dxa" w:w="160"/>
            </w:tcMar>
          </w:tcPr>
          <w:p>
            <w:r>
              <w:rPr>
                <w:rFonts w:ascii="Arial" w:cs="Arial" w:eastAsia="Arial" w:hAnsi="Arial"/>
                <w:color w:val="1E293B"/>
                <w:sz w:val="20"/>
                <w:szCs w:val="20"/>
              </w:rPr>
              <w:t xml:space="preserve">ProofLink generates a cryptographic receipt for every action — tamper-evident, independently verifiable at itechsmart.dev/verify.</w:t>
            </w:r>
          </w:p>
        </w:tc>
      </w:tr>
    </w:tbl>
    <w:p>
      <w:pPr>
        <w:spacing w:after="0" w:before="160"/>
      </w:pPr>
      <w:r>
        <w:t xml:space="preserve"/>
      </w:r>
    </w:p>
    <w:p>
      <w:pPr>
        <w:pStyle w:val="Heading2"/>
        <w:spacing w:after="120" w:before="320"/>
      </w:pPr>
      <w:r>
        <w:rPr>
          <w:rFonts w:ascii="Arial" w:cs="Arial" w:eastAsia="Arial" w:hAnsi="Arial"/>
          <w:b/>
          <w:bCs/>
          <w:color w:val="6D28D9"/>
          <w:sz w:val="26"/>
          <w:szCs w:val="26"/>
        </w:rPr>
        <w:t xml:space="preserve">4.2 Wazuh SIEM Integration — Live</w:t>
      </w:r>
    </w:p>
    <w:p>
      <w:pPr>
        <w:spacing w:after="120" w:before="80"/>
        <w:jc w:val="both"/>
      </w:pPr>
      <w:r>
        <w:rPr>
          <w:rFonts w:ascii="Arial" w:cs="Arial" w:eastAsia="Arial" w:hAnsi="Arial"/>
          <w:color w:val="1E293B"/>
          <w:sz w:val="22"/>
          <w:szCs w:val="22"/>
        </w:rPr>
        <w:t xml:space="preserve">As of April 2026, iTechSmart has deployed Wazuh SIEM v4.7.3 as a native component of the UAIO platform, accessible at wazuh.itechsmart.dev. Wazuh feeds live threat events — intrusion detection, log analysis, vulnerability scanning, and compliance monitoring — directly into the Signal Cortex layer of OctoAI.</w:t>
      </w:r>
    </w:p>
    <w:p>
      <w:pPr>
        <w:spacing w:after="120" w:before="80"/>
        <w:jc w:val="both"/>
      </w:pPr>
      <w:r>
        <w:rPr>
          <w:rFonts w:ascii="Arial" w:cs="Arial" w:eastAsia="Arial" w:hAnsi="Arial"/>
          <w:color w:val="1E293B"/>
          <w:sz w:val="22"/>
          <w:szCs w:val="22"/>
        </w:rPr>
        <w:t xml:space="preserve">This integration creates a complete security operations pipeline: Wazuh detects the threat signal, OctoAI reasons about it, the platform executes the remediation, and ProofLink generates the cryptographic receipt. For government and regulated-industry buyers, this is a complete, audit-ready security operations capability with no manual handoffs.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D28D9" w:sz="1"/>
              <w:left w:val="single" w:color="6D28D9" w:sz="16"/>
              <w:bottom w:val="single" w:color="6D28D9" w:sz="1"/>
              <w:right w:val="none" w:color="FFFFFF" w:sz="0"/>
            </w:tcBorders>
            <w:shd w:fill="EDE9FE" w:val="clear"/>
            <w:tcMar>
              <w:top w:type="dxa" w:w="160"/>
              <w:left w:type="dxa" w:w="240"/>
              <w:bottom w:type="dxa" w:w="160"/>
              <w:right w:type="dxa" w:w="240"/>
            </w:tcMar>
          </w:tcPr>
          <w:p>
            <w:pPr>
              <w:spacing w:after="60" w:before="0"/>
            </w:pPr>
            <w:r>
              <w:rPr>
                <w:rFonts w:ascii="Arial" w:cs="Arial" w:eastAsia="Arial" w:hAnsi="Arial"/>
                <w:b/>
                <w:bCs/>
                <w:caps/>
                <w:color w:val="6D28D9"/>
                <w:sz w:val="18"/>
                <w:szCs w:val="18"/>
              </w:rPr>
              <w:t xml:space="preserve">FEDRAMP &amp; CMMC RELEVANCE</w:t>
            </w:r>
          </w:p>
          <w:p>
            <w:pPr>
              <w:spacing w:after="0" w:before="0"/>
              <w:jc w:val="both"/>
            </w:pPr>
            <w:r>
              <w:rPr>
                <w:rFonts w:ascii="Arial" w:cs="Arial" w:eastAsia="Arial" w:hAnsi="Arial"/>
                <w:color w:val="1E293B"/>
                <w:sz w:val="22"/>
                <w:szCs w:val="22"/>
              </w:rPr>
              <w:t xml:space="preserve">Wazuh is named in FedRAMP-approved tool lists and CMMC Level 3 guidance. Having it natively integrated into the UAIO autonomous loop — rather than as a standalone SIEM requiring manual response — is a material compliance and operational advantage.</w:t>
            </w:r>
          </w:p>
        </w:tc>
      </w:tr>
    </w:tbl>
    <w:p>
      <w:pPr>
        <w:pStyle w:val="Heading2"/>
        <w:spacing w:after="120" w:before="320"/>
      </w:pPr>
      <w:r>
        <w:rPr>
          <w:rFonts w:ascii="Arial" w:cs="Arial" w:eastAsia="Arial" w:hAnsi="Arial"/>
          <w:b/>
          <w:bCs/>
          <w:color w:val="6D28D9"/>
          <w:sz w:val="26"/>
          <w:szCs w:val="26"/>
        </w:rPr>
        <w:t xml:space="preserve">4.3 OctoAI: The Cognitive Engine</w:t>
      </w:r>
    </w:p>
    <w:p>
      <w:pPr>
        <w:spacing w:after="120" w:before="80"/>
        <w:jc w:val="both"/>
      </w:pPr>
      <w:r>
        <w:rPr>
          <w:rFonts w:ascii="Arial" w:cs="Arial" w:eastAsia="Arial" w:hAnsi="Arial"/>
          <w:color w:val="1E293B"/>
          <w:sz w:val="22"/>
          <w:szCs w:val="22"/>
        </w:rPr>
        <w:t xml:space="preserve">OctoAI is the decision-making core of the iTechSmart UAIO platform. It implements a 7-layer cognitive architecture with 8 specialized agents covering signal processing, context enrichment, root cause analysis, remediation planning, execution oversight, verification, and governance.</w:t>
      </w:r>
    </w:p>
    <w:p>
      <w:pPr>
        <w:pStyle w:val="ListParagraph"/>
        <w:numPr>
          <w:ilvl w:val="0"/>
          <w:numId w:val="2"/>
        </w:numPr>
        <w:spacing w:after="60" w:before="60"/>
      </w:pPr>
      <w:r>
        <w:rPr>
          <w:rFonts w:ascii="Arial" w:cs="Arial" w:eastAsia="Arial" w:hAnsi="Arial"/>
          <w:color w:val="1E293B"/>
          <w:sz w:val="22"/>
          <w:szCs w:val="22"/>
        </w:rPr>
        <w:t xml:space="preserve">Signal Cortex — ingests and normalizes telemetry from endpoints, networks, applications, cloud environments, and Wazuh SIEM</w:t>
      </w:r>
    </w:p>
    <w:p>
      <w:pPr>
        <w:pStyle w:val="ListParagraph"/>
        <w:numPr>
          <w:ilvl w:val="0"/>
          <w:numId w:val="2"/>
        </w:numPr>
        <w:spacing w:after="60" w:before="60"/>
      </w:pPr>
      <w:r>
        <w:rPr>
          <w:rFonts w:ascii="Arial" w:cs="Arial" w:eastAsia="Arial" w:hAnsi="Arial"/>
          <w:color w:val="1E293B"/>
          <w:sz w:val="22"/>
          <w:szCs w:val="22"/>
        </w:rPr>
        <w:t xml:space="preserve">Context Cortex — enriches signals with topology, dependency mapping, and historical pattern analysis</w:t>
      </w:r>
    </w:p>
    <w:p>
      <w:pPr>
        <w:pStyle w:val="ListParagraph"/>
        <w:numPr>
          <w:ilvl w:val="0"/>
          <w:numId w:val="2"/>
        </w:numPr>
        <w:spacing w:after="60" w:before="60"/>
      </w:pPr>
      <w:r>
        <w:rPr>
          <w:rFonts w:ascii="Arial" w:cs="Arial" w:eastAsia="Arial" w:hAnsi="Arial"/>
          <w:color w:val="1E293B"/>
          <w:sz w:val="22"/>
          <w:szCs w:val="22"/>
        </w:rPr>
        <w:t xml:space="preserve">Reasoning Cortex — applies root cause analysis and constructs a ranked remediation plan</w:t>
      </w:r>
    </w:p>
    <w:p>
      <w:pPr>
        <w:pStyle w:val="ListParagraph"/>
        <w:numPr>
          <w:ilvl w:val="0"/>
          <w:numId w:val="2"/>
        </w:numPr>
        <w:spacing w:after="60" w:before="60"/>
      </w:pPr>
      <w:r>
        <w:rPr>
          <w:rFonts w:ascii="Arial" w:cs="Arial" w:eastAsia="Arial" w:hAnsi="Arial"/>
          <w:color w:val="1E293B"/>
          <w:sz w:val="22"/>
          <w:szCs w:val="22"/>
        </w:rPr>
        <w:t xml:space="preserve">The Arbiter — the governance engine that enforces human gates, policy constraints, and blast radius limits</w:t>
      </w:r>
    </w:p>
    <w:p>
      <w:pPr>
        <w:pStyle w:val="ListParagraph"/>
        <w:numPr>
          <w:ilvl w:val="0"/>
          <w:numId w:val="2"/>
        </w:numPr>
        <w:spacing w:after="60" w:before="60"/>
      </w:pPr>
      <w:r>
        <w:rPr>
          <w:rFonts w:ascii="Arial" w:cs="Arial" w:eastAsia="Arial" w:hAnsi="Arial"/>
          <w:color w:val="1E293B"/>
          <w:sz w:val="22"/>
          <w:szCs w:val="22"/>
        </w:rPr>
        <w:t xml:space="preserve">Execution Layer — deploys autonomous remediation actions with full rollback capability</w:t>
      </w:r>
    </w:p>
    <w:p>
      <w:pPr>
        <w:pStyle w:val="ListParagraph"/>
        <w:numPr>
          <w:ilvl w:val="0"/>
          <w:numId w:val="2"/>
        </w:numPr>
        <w:spacing w:after="60" w:before="60"/>
      </w:pPr>
      <w:r>
        <w:rPr>
          <w:rFonts w:ascii="Arial" w:cs="Arial" w:eastAsia="Arial" w:hAnsi="Arial"/>
          <w:color w:val="1E293B"/>
          <w:sz w:val="22"/>
          <w:szCs w:val="22"/>
        </w:rPr>
        <w:t xml:space="preserve">Verification Layer — confirms resolution and triggers ProofLink receipt generation</w:t>
      </w:r>
    </w:p>
    <w:p>
      <w:pPr>
        <w:pStyle w:val="ListParagraph"/>
        <w:numPr>
          <w:ilvl w:val="0"/>
          <w:numId w:val="2"/>
        </w:numPr>
        <w:spacing w:after="60" w:before="60"/>
      </w:pPr>
      <w:r>
        <w:rPr>
          <w:rFonts w:ascii="Arial" w:cs="Arial" w:eastAsia="Arial" w:hAnsi="Arial"/>
          <w:color w:val="1E293B"/>
          <w:sz w:val="22"/>
          <w:szCs w:val="22"/>
        </w:rPr>
        <w:t xml:space="preserve">Continuous Learning — updates internal models based on confirmed outcomes without requiring model retraining</w:t>
      </w:r>
    </w:p>
    <w:p>
      <w:pPr>
        <w:spacing w:after="0" w:before="80"/>
      </w:pPr>
      <w:r>
        <w:t xml:space="preserve"/>
      </w:r>
    </w:p>
    <w:p>
      <w:pPr>
        <w:spacing w:after="120" w:before="80"/>
        <w:jc w:val="both"/>
      </w:pPr>
      <w:r>
        <w:rPr>
          <w:rFonts w:ascii="Arial" w:cs="Arial" w:eastAsia="Arial" w:hAnsi="Arial"/>
          <w:color w:val="1E293B"/>
          <w:sz w:val="22"/>
          <w:szCs w:val="22"/>
        </w:rPr>
        <w:t xml:space="preserve">OctoAI's Explainable AI architecture means every decision produces a human-readable reasoning chain. Operators can review not just what the system did, but why — and what alternatives were considered and rejected.</w:t>
      </w:r>
    </w:p>
    <w:p>
      <w:pPr>
        <w:pStyle w:val="Heading2"/>
        <w:spacing w:after="120" w:before="320"/>
      </w:pPr>
      <w:r>
        <w:rPr>
          <w:rFonts w:ascii="Arial" w:cs="Arial" w:eastAsia="Arial" w:hAnsi="Arial"/>
          <w:b/>
          <w:bCs/>
          <w:color w:val="6D28D9"/>
          <w:sz w:val="26"/>
          <w:szCs w:val="26"/>
        </w:rPr>
        <w:t xml:space="preserve">4.4 Vertical Products</w:t>
      </w:r>
    </w:p>
    <w:p>
      <w:pPr>
        <w:spacing w:after="120" w:before="80"/>
        <w:jc w:val="both"/>
      </w:pPr>
      <w:r>
        <w:rPr>
          <w:rFonts w:ascii="Arial" w:cs="Arial" w:eastAsia="Arial" w:hAnsi="Arial"/>
          <w:color w:val="1E293B"/>
          <w:sz w:val="22"/>
          <w:szCs w:val="22"/>
        </w:rPr>
        <w:t xml:space="preserve">The iTechSmart UAIO platform is deployed across four primary vertical configurations:</w:t>
      </w:r>
    </w:p>
    <w:p>
      <w:pPr>
        <w:spacing w:after="0" w:before="80"/>
      </w:pPr>
      <w:r>
        <w:t xml:space="preserve"/>
      </w:r>
    </w:p>
    <w:p>
      <w:pPr>
        <w:pStyle w:val="Heading3"/>
        <w:spacing w:after="80" w:before="240"/>
      </w:pPr>
      <w:r>
        <w:rPr>
          <w:rFonts w:ascii="Arial" w:cs="Arial" w:eastAsia="Arial" w:hAnsi="Arial"/>
          <w:b/>
          <w:bCs/>
          <w:color w:val="1E293B"/>
          <w:sz w:val="22"/>
          <w:szCs w:val="22"/>
        </w:rPr>
        <w:t xml:space="preserve">Citadel — Government &amp; Defense</w:t>
      </w:r>
    </w:p>
    <w:p>
      <w:pPr>
        <w:spacing w:after="120" w:before="80"/>
        <w:jc w:val="both"/>
      </w:pPr>
      <w:r>
        <w:rPr>
          <w:rFonts w:ascii="Arial" w:cs="Arial" w:eastAsia="Arial" w:hAnsi="Arial"/>
          <w:color w:val="1E293B"/>
          <w:sz w:val="22"/>
          <w:szCs w:val="22"/>
        </w:rPr>
        <w:t xml:space="preserve">Citadel is the air-gapped, FIPS-aligned deployment configuration for federal agencies, defense contractors, and intelligence community tenants. It supports CMMC Level 3 compliance, FedRAMP High controls, post-quantum cryptography via OpenQuantumSafe, and offline cryptographic receipt chains. All compute, storage, and communication remain within the tenant's security boundary.</w:t>
      </w:r>
    </w:p>
    <w:p>
      <w:pPr>
        <w:pStyle w:val="Heading3"/>
        <w:spacing w:after="80" w:before="240"/>
      </w:pPr>
      <w:r>
        <w:rPr>
          <w:rFonts w:ascii="Arial" w:cs="Arial" w:eastAsia="Arial" w:hAnsi="Arial"/>
          <w:b/>
          <w:bCs/>
          <w:color w:val="1E293B"/>
          <w:sz w:val="22"/>
          <w:szCs w:val="22"/>
        </w:rPr>
        <w:t xml:space="preserve">HL7 Pro — Healthcare</w:t>
      </w:r>
    </w:p>
    <w:p>
      <w:pPr>
        <w:spacing w:after="120" w:before="80"/>
        <w:jc w:val="both"/>
      </w:pPr>
      <w:r>
        <w:rPr>
          <w:rFonts w:ascii="Arial" w:cs="Arial" w:eastAsia="Arial" w:hAnsi="Arial"/>
          <w:color w:val="1E293B"/>
          <w:sz w:val="22"/>
          <w:szCs w:val="22"/>
        </w:rPr>
        <w:t xml:space="preserve">HL7 Pro extends the UAIO platform with native HL7 FHIR messaging, HIPAA-compliant audit trails, and healthcare-specific remediation playbooks covering EHR availability, medical device connectivity, and clinical network segmentation.</w:t>
      </w:r>
    </w:p>
    <w:p>
      <w:pPr>
        <w:pStyle w:val="Heading3"/>
        <w:spacing w:after="80" w:before="240"/>
      </w:pPr>
      <w:r>
        <w:rPr>
          <w:rFonts w:ascii="Arial" w:cs="Arial" w:eastAsia="Arial" w:hAnsi="Arial"/>
          <w:b/>
          <w:bCs/>
          <w:color w:val="1E293B"/>
          <w:sz w:val="22"/>
          <w:szCs w:val="22"/>
        </w:rPr>
        <w:t xml:space="preserve">LegalAI Pro — Legal &amp; Compliance</w:t>
      </w:r>
    </w:p>
    <w:p>
      <w:pPr>
        <w:spacing w:after="120" w:before="80"/>
        <w:jc w:val="both"/>
      </w:pPr>
      <w:r>
        <w:rPr>
          <w:rFonts w:ascii="Arial" w:cs="Arial" w:eastAsia="Arial" w:hAnsi="Arial"/>
          <w:color w:val="1E293B"/>
          <w:sz w:val="22"/>
          <w:szCs w:val="22"/>
        </w:rPr>
        <w:t xml:space="preserve">LegalAI Pro provides AI-assisted document analysis, contract intelligence, and compliance monitoring for legal departments and law firms. Cryptographic receipts for all document-level actions support e-discovery and chain-of-custody requirements.</w:t>
      </w:r>
    </w:p>
    <w:p>
      <w:pPr>
        <w:pStyle w:val="Heading3"/>
        <w:spacing w:after="80" w:before="240"/>
      </w:pPr>
      <w:r>
        <w:rPr>
          <w:rFonts w:ascii="Arial" w:cs="Arial" w:eastAsia="Arial" w:hAnsi="Arial"/>
          <w:b/>
          <w:bCs/>
          <w:color w:val="1E293B"/>
          <w:sz w:val="22"/>
          <w:szCs w:val="22"/>
        </w:rPr>
        <w:t xml:space="preserve">iTechSmart Supreme — Enterprise</w:t>
      </w:r>
    </w:p>
    <w:p>
      <w:pPr>
        <w:spacing w:after="120" w:before="80"/>
        <w:jc w:val="both"/>
      </w:pPr>
      <w:r>
        <w:rPr>
          <w:rFonts w:ascii="Arial" w:cs="Arial" w:eastAsia="Arial" w:hAnsi="Arial"/>
          <w:color w:val="1E293B"/>
          <w:sz w:val="22"/>
          <w:szCs w:val="22"/>
        </w:rPr>
        <w:t xml:space="preserve">The flagship enterprise deployment configuration, Supreme provides the full UAIO capability stack with multi-tenant isolation, enterprise SSO, advanced analytics, and API-first integration with ServiceNow, Jira, Splunk, and major cloud providers.</w:t>
      </w:r>
    </w:p>
    <w:p>
      <w:pPr>
        <w:pStyle w:val="Heading1"/>
        <w:pBdr>
          <w:bottom w:val="single" w:color="6D28D9" w:sz="6" w:space="1"/>
        </w:pBdr>
        <w:spacing w:after="160" w:before="480"/>
      </w:pPr>
      <w:r>
        <w:rPr>
          <w:rFonts w:ascii="Arial" w:cs="Arial" w:eastAsia="Arial" w:hAnsi="Arial"/>
          <w:b/>
          <w:bCs/>
          <w:color w:val="1E293B"/>
          <w:sz w:val="36"/>
          <w:szCs w:val="36"/>
        </w:rPr>
        <w:t xml:space="preserve">5. The Business Case for UAIO</w:t>
      </w:r>
    </w:p>
    <w:p>
      <w:pPr>
        <w:pStyle w:val="Heading2"/>
        <w:spacing w:after="120" w:before="320"/>
      </w:pPr>
      <w:r>
        <w:rPr>
          <w:rFonts w:ascii="Arial" w:cs="Arial" w:eastAsia="Arial" w:hAnsi="Arial"/>
          <w:b/>
          <w:bCs/>
          <w:color w:val="6D28D9"/>
          <w:sz w:val="26"/>
          <w:szCs w:val="26"/>
        </w:rPr>
        <w:t xml:space="preserve">5.1 Operational Impact</w:t>
      </w:r>
    </w:p>
    <w:p>
      <w:pPr>
        <w:spacing w:after="120" w:before="80"/>
        <w:jc w:val="both"/>
      </w:pPr>
      <w:r>
        <w:rPr>
          <w:rFonts w:ascii="Arial" w:cs="Arial" w:eastAsia="Arial" w:hAnsi="Arial"/>
          <w:color w:val="1E293B"/>
          <w:sz w:val="22"/>
          <w:szCs w:val="22"/>
        </w:rPr>
        <w:t xml:space="preserve">The operational benefits of UAIO deployment are measurable across three primary dimensions: speed of resolution, reduction in compliance overhead, and engineering capacity recovery.</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4C1D95" w:sz="1"/>
              <w:left w:val="single" w:color="4C1D95" w:sz="1"/>
              <w:bottom w:val="single" w:color="4C1D95" w:sz="1"/>
              <w:right w:val="single" w:color="4C1D95" w:sz="1"/>
            </w:tcBorders>
            <w:shd w:fill="4C1D95" w:val="clear"/>
            <w:tcMar>
              <w:top w:type="dxa" w:w="100"/>
              <w:left w:type="dxa" w:w="160"/>
              <w:bottom w:type="dxa" w:w="100"/>
              <w:right w:type="dxa" w:w="160"/>
            </w:tcMar>
          </w:tcPr>
          <w:p>
            <w:r>
              <w:rPr>
                <w:rFonts w:ascii="Arial" w:cs="Arial" w:eastAsia="Arial" w:hAnsi="Arial"/>
                <w:b/>
                <w:bCs/>
                <w:color w:val="FFFFFF"/>
                <w:sz w:val="20"/>
                <w:szCs w:val="20"/>
              </w:rPr>
              <w:t xml:space="preserve">Metric</w:t>
            </w:r>
          </w:p>
        </w:tc>
        <w:tc>
          <w:tcPr>
            <w:tcW w:type="dxa" w:w="3120"/>
            <w:tcBorders>
              <w:top w:val="single" w:color="4C1D95" w:sz="1"/>
              <w:left w:val="single" w:color="4C1D95" w:sz="1"/>
              <w:bottom w:val="single" w:color="4C1D95" w:sz="1"/>
              <w:right w:val="single" w:color="4C1D95" w:sz="1"/>
            </w:tcBorders>
            <w:shd w:fill="4C1D95" w:val="clear"/>
            <w:tcMar>
              <w:top w:type="dxa" w:w="100"/>
              <w:left w:type="dxa" w:w="160"/>
              <w:bottom w:type="dxa" w:w="100"/>
              <w:right w:type="dxa" w:w="160"/>
            </w:tcMar>
          </w:tcPr>
          <w:p>
            <w:r>
              <w:rPr>
                <w:rFonts w:ascii="Arial" w:cs="Arial" w:eastAsia="Arial" w:hAnsi="Arial"/>
                <w:b/>
                <w:bCs/>
                <w:color w:val="FFFFFF"/>
                <w:sz w:val="20"/>
                <w:szCs w:val="20"/>
              </w:rPr>
              <w:t xml:space="preserve">Before UAIO</w:t>
            </w:r>
          </w:p>
        </w:tc>
        <w:tc>
          <w:tcPr>
            <w:tcW w:type="dxa" w:w="3120"/>
            <w:tcBorders>
              <w:top w:val="single" w:color="4C1D95" w:sz="1"/>
              <w:left w:val="single" w:color="4C1D95" w:sz="1"/>
              <w:bottom w:val="single" w:color="4C1D95" w:sz="1"/>
              <w:right w:val="single" w:color="4C1D95" w:sz="1"/>
            </w:tcBorders>
            <w:shd w:fill="0D9488" w:val="clear"/>
            <w:tcMar>
              <w:top w:type="dxa" w:w="100"/>
              <w:left w:type="dxa" w:w="160"/>
              <w:bottom w:type="dxa" w:w="100"/>
              <w:right w:type="dxa" w:w="160"/>
            </w:tcMar>
          </w:tcPr>
          <w:p>
            <w:r>
              <w:rPr>
                <w:rFonts w:ascii="Arial" w:cs="Arial" w:eastAsia="Arial" w:hAnsi="Arial"/>
                <w:b/>
                <w:bCs/>
                <w:color w:val="FFFFFF"/>
                <w:sz w:val="20"/>
                <w:szCs w:val="20"/>
              </w:rPr>
              <w:t xml:space="preserve">With UAIO</w:t>
            </w:r>
          </w:p>
        </w:tc>
      </w:tr>
      <w:tr>
        <w:tc>
          <w:tcPr>
            <w:tcW w:type="dxa" w:w="312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b/>
                <w:bCs/>
                <w:color w:val="1E293B"/>
                <w:sz w:val="20"/>
                <w:szCs w:val="20"/>
              </w:rPr>
              <w:t xml:space="preserve">Mean Time to Resolution</w:t>
            </w:r>
          </w:p>
        </w:tc>
        <w:tc>
          <w:tcPr>
            <w:tcW w:type="dxa" w:w="312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4-8 hours (average)</w:t>
            </w:r>
          </w:p>
        </w:tc>
        <w:tc>
          <w:tcPr>
            <w:tcW w:type="dxa" w:w="3120"/>
            <w:tcBorders>
              <w:top w:val="single" w:color="CBD5E1" w:sz="1"/>
              <w:left w:val="single" w:color="CBD5E1" w:sz="1"/>
              <w:bottom w:val="single" w:color="CBD5E1" w:sz="1"/>
              <w:right w:val="single" w:color="CBD5E1" w:sz="1"/>
            </w:tcBorders>
            <w:shd w:fill="ECFDF5" w:val="clear"/>
            <w:tcMar>
              <w:top w:type="dxa" w:w="80"/>
              <w:left w:type="dxa" w:w="160"/>
              <w:bottom w:type="dxa" w:w="80"/>
              <w:right w:type="dxa" w:w="160"/>
            </w:tcMar>
          </w:tcPr>
          <w:p>
            <w:r>
              <w:rPr>
                <w:rFonts w:ascii="Arial" w:cs="Arial" w:eastAsia="Arial" w:hAnsi="Arial"/>
                <w:b/>
                <w:bCs/>
                <w:color w:val="065F46"/>
                <w:sz w:val="20"/>
                <w:szCs w:val="20"/>
              </w:rPr>
              <w:t xml:space="preserve">&lt; 90 seconds (autonomous)</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b/>
                <w:bCs/>
                <w:color w:val="1E293B"/>
                <w:sz w:val="20"/>
                <w:szCs w:val="20"/>
              </w:rPr>
              <w:t xml:space="preserve">Tier 1-2 Incident Handling</w:t>
            </w:r>
          </w:p>
        </w:tc>
        <w:tc>
          <w:tcPr>
            <w:tcW w:type="dxa" w:w="312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Manual triage + ticket</w:t>
            </w:r>
          </w:p>
        </w:tc>
        <w:tc>
          <w:tcPr>
            <w:tcW w:type="dxa" w:w="3120"/>
            <w:tcBorders>
              <w:top w:val="single" w:color="CBD5E1" w:sz="1"/>
              <w:left w:val="single" w:color="CBD5E1" w:sz="1"/>
              <w:bottom w:val="single" w:color="CBD5E1" w:sz="1"/>
              <w:right w:val="single" w:color="CBD5E1" w:sz="1"/>
            </w:tcBorders>
            <w:shd w:fill="F0FDF4" w:val="clear"/>
            <w:tcMar>
              <w:top w:type="dxa" w:w="80"/>
              <w:left w:type="dxa" w:w="160"/>
              <w:bottom w:type="dxa" w:w="80"/>
              <w:right w:type="dxa" w:w="160"/>
            </w:tcMar>
          </w:tcPr>
          <w:p>
            <w:r>
              <w:rPr>
                <w:rFonts w:ascii="Arial" w:cs="Arial" w:eastAsia="Arial" w:hAnsi="Arial"/>
                <w:b/>
                <w:bCs/>
                <w:color w:val="065F46"/>
                <w:sz w:val="20"/>
                <w:szCs w:val="20"/>
              </w:rPr>
              <w:t xml:space="preserve">Fully autonomous resolution</w:t>
            </w:r>
          </w:p>
        </w:tc>
      </w:tr>
      <w:tr>
        <w:tc>
          <w:tcPr>
            <w:tcW w:type="dxa" w:w="312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b/>
                <w:bCs/>
                <w:color w:val="1E293B"/>
                <w:sz w:val="20"/>
                <w:szCs w:val="20"/>
              </w:rPr>
              <w:t xml:space="preserve">Compliance Audit Prep</w:t>
            </w:r>
          </w:p>
        </w:tc>
        <w:tc>
          <w:tcPr>
            <w:tcW w:type="dxa" w:w="312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4-6 weeks</w:t>
            </w:r>
          </w:p>
        </w:tc>
        <w:tc>
          <w:tcPr>
            <w:tcW w:type="dxa" w:w="3120"/>
            <w:tcBorders>
              <w:top w:val="single" w:color="CBD5E1" w:sz="1"/>
              <w:left w:val="single" w:color="CBD5E1" w:sz="1"/>
              <w:bottom w:val="single" w:color="CBD5E1" w:sz="1"/>
              <w:right w:val="single" w:color="CBD5E1" w:sz="1"/>
            </w:tcBorders>
            <w:shd w:fill="ECFDF5" w:val="clear"/>
            <w:tcMar>
              <w:top w:type="dxa" w:w="80"/>
              <w:left w:type="dxa" w:w="160"/>
              <w:bottom w:type="dxa" w:w="80"/>
              <w:right w:type="dxa" w:w="160"/>
            </w:tcMar>
          </w:tcPr>
          <w:p>
            <w:r>
              <w:rPr>
                <w:rFonts w:ascii="Arial" w:cs="Arial" w:eastAsia="Arial" w:hAnsi="Arial"/>
                <w:b/>
                <w:bCs/>
                <w:color w:val="065F46"/>
                <w:sz w:val="20"/>
                <w:szCs w:val="20"/>
              </w:rPr>
              <w:t xml:space="preserve">&lt; 4 business days</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b/>
                <w:bCs/>
                <w:color w:val="1E293B"/>
                <w:sz w:val="20"/>
                <w:szCs w:val="20"/>
              </w:rPr>
              <w:t xml:space="preserve">Proof of Action</w:t>
            </w:r>
          </w:p>
        </w:tc>
        <w:tc>
          <w:tcPr>
            <w:tcW w:type="dxa" w:w="312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Log file review</w:t>
            </w:r>
          </w:p>
        </w:tc>
        <w:tc>
          <w:tcPr>
            <w:tcW w:type="dxa" w:w="3120"/>
            <w:tcBorders>
              <w:top w:val="single" w:color="CBD5E1" w:sz="1"/>
              <w:left w:val="single" w:color="CBD5E1" w:sz="1"/>
              <w:bottom w:val="single" w:color="CBD5E1" w:sz="1"/>
              <w:right w:val="single" w:color="CBD5E1" w:sz="1"/>
            </w:tcBorders>
            <w:shd w:fill="F0FDF4" w:val="clear"/>
            <w:tcMar>
              <w:top w:type="dxa" w:w="80"/>
              <w:left w:type="dxa" w:w="160"/>
              <w:bottom w:type="dxa" w:w="80"/>
              <w:right w:type="dxa" w:w="160"/>
            </w:tcMar>
          </w:tcPr>
          <w:p>
            <w:r>
              <w:rPr>
                <w:rFonts w:ascii="Arial" w:cs="Arial" w:eastAsia="Arial" w:hAnsi="Arial"/>
                <w:b/>
                <w:bCs/>
                <w:color w:val="065F46"/>
                <w:sz w:val="20"/>
                <w:szCs w:val="20"/>
              </w:rPr>
              <w:t xml:space="preserve">Instant cryptographic verification</w:t>
            </w:r>
          </w:p>
        </w:tc>
      </w:tr>
      <w:tr>
        <w:tc>
          <w:tcPr>
            <w:tcW w:type="dxa" w:w="312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b/>
                <w:bCs/>
                <w:color w:val="1E293B"/>
                <w:sz w:val="20"/>
                <w:szCs w:val="20"/>
              </w:rPr>
              <w:t xml:space="preserve">SIEM Threat Response</w:t>
            </w:r>
          </w:p>
        </w:tc>
        <w:tc>
          <w:tcPr>
            <w:tcW w:type="dxa" w:w="312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Manual analyst review</w:t>
            </w:r>
          </w:p>
        </w:tc>
        <w:tc>
          <w:tcPr>
            <w:tcW w:type="dxa" w:w="3120"/>
            <w:tcBorders>
              <w:top w:val="single" w:color="CBD5E1" w:sz="1"/>
              <w:left w:val="single" w:color="CBD5E1" w:sz="1"/>
              <w:bottom w:val="single" w:color="CBD5E1" w:sz="1"/>
              <w:right w:val="single" w:color="CBD5E1" w:sz="1"/>
            </w:tcBorders>
            <w:shd w:fill="ECFDF5" w:val="clear"/>
            <w:tcMar>
              <w:top w:type="dxa" w:w="80"/>
              <w:left w:type="dxa" w:w="160"/>
              <w:bottom w:type="dxa" w:w="80"/>
              <w:right w:type="dxa" w:w="160"/>
            </w:tcMar>
          </w:tcPr>
          <w:p>
            <w:r>
              <w:rPr>
                <w:rFonts w:ascii="Arial" w:cs="Arial" w:eastAsia="Arial" w:hAnsi="Arial"/>
                <w:b/>
                <w:bCs/>
                <w:color w:val="065F46"/>
                <w:sz w:val="20"/>
                <w:szCs w:val="20"/>
              </w:rPr>
              <w:t xml:space="preserve">Autonomous via Wazuh + OctoAI</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b/>
                <w:bCs/>
                <w:color w:val="1E293B"/>
                <w:sz w:val="20"/>
                <w:szCs w:val="20"/>
              </w:rPr>
              <w:t xml:space="preserve">Engineering On-Call Burden</w:t>
            </w:r>
          </w:p>
        </w:tc>
        <w:tc>
          <w:tcPr>
            <w:tcW w:type="dxa" w:w="312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High — frequent escalation</w:t>
            </w:r>
          </w:p>
        </w:tc>
        <w:tc>
          <w:tcPr>
            <w:tcW w:type="dxa" w:w="3120"/>
            <w:tcBorders>
              <w:top w:val="single" w:color="CBD5E1" w:sz="1"/>
              <w:left w:val="single" w:color="CBD5E1" w:sz="1"/>
              <w:bottom w:val="single" w:color="CBD5E1" w:sz="1"/>
              <w:right w:val="single" w:color="CBD5E1" w:sz="1"/>
            </w:tcBorders>
            <w:shd w:fill="F0FDF4" w:val="clear"/>
            <w:tcMar>
              <w:top w:type="dxa" w:w="80"/>
              <w:left w:type="dxa" w:w="160"/>
              <w:bottom w:type="dxa" w:w="80"/>
              <w:right w:type="dxa" w:w="160"/>
            </w:tcMar>
          </w:tcPr>
          <w:p>
            <w:r>
              <w:rPr>
                <w:rFonts w:ascii="Arial" w:cs="Arial" w:eastAsia="Arial" w:hAnsi="Arial"/>
                <w:b/>
                <w:bCs/>
                <w:color w:val="065F46"/>
                <w:sz w:val="20"/>
                <w:szCs w:val="20"/>
              </w:rPr>
              <w:t xml:space="preserve">Reduced 80%+ for covered types</w:t>
            </w:r>
          </w:p>
        </w:tc>
      </w:tr>
    </w:tbl>
    <w:p>
      <w:pPr>
        <w:spacing w:after="0" w:before="160"/>
      </w:pPr>
      <w:r>
        <w:t xml:space="preserve"/>
      </w:r>
    </w:p>
    <w:p>
      <w:pPr>
        <w:pStyle w:val="Heading2"/>
        <w:spacing w:after="120" w:before="320"/>
      </w:pPr>
      <w:r>
        <w:rPr>
          <w:rFonts w:ascii="Arial" w:cs="Arial" w:eastAsia="Arial" w:hAnsi="Arial"/>
          <w:b/>
          <w:bCs/>
          <w:color w:val="6D28D9"/>
          <w:sz w:val="26"/>
          <w:szCs w:val="26"/>
        </w:rPr>
        <w:t xml:space="preserve">5.2 Compliance and Risk Reduction</w:t>
      </w:r>
    </w:p>
    <w:p>
      <w:pPr>
        <w:spacing w:after="120" w:before="80"/>
        <w:jc w:val="both"/>
      </w:pPr>
      <w:r>
        <w:rPr>
          <w:rFonts w:ascii="Arial" w:cs="Arial" w:eastAsia="Arial" w:hAnsi="Arial"/>
          <w:color w:val="1E293B"/>
          <w:sz w:val="22"/>
          <w:szCs w:val="22"/>
        </w:rPr>
        <w:t xml:space="preserve">For regulated industries, the compliance value of UAIO extends beyond operational efficiency. The ability to produce cryptographic proof of every action — on demand, for any historical time period — fundamentally changes the organization's posture in regulatory examinations, contract disputes, and incident response investigations.</w:t>
      </w:r>
    </w:p>
    <w:p>
      <w:pPr>
        <w:pStyle w:val="ListParagraph"/>
        <w:numPr>
          <w:ilvl w:val="0"/>
          <w:numId w:val="2"/>
        </w:numPr>
        <w:spacing w:after="60" w:before="60"/>
      </w:pPr>
      <w:r>
        <w:rPr>
          <w:rFonts w:ascii="Arial" w:cs="Arial" w:eastAsia="Arial" w:hAnsi="Arial"/>
          <w:color w:val="1E293B"/>
          <w:sz w:val="22"/>
          <w:szCs w:val="22"/>
        </w:rPr>
        <w:t xml:space="preserve">HIPAA: Automated audit trails for all PHI-adjacent system actions eliminate manual documentation requirements</w:t>
      </w:r>
    </w:p>
    <w:p>
      <w:pPr>
        <w:pStyle w:val="ListParagraph"/>
        <w:numPr>
          <w:ilvl w:val="0"/>
          <w:numId w:val="2"/>
        </w:numPr>
        <w:spacing w:after="60" w:before="60"/>
      </w:pPr>
      <w:r>
        <w:rPr>
          <w:rFonts w:ascii="Arial" w:cs="Arial" w:eastAsia="Arial" w:hAnsi="Arial"/>
          <w:color w:val="1E293B"/>
          <w:sz w:val="22"/>
          <w:szCs w:val="22"/>
        </w:rPr>
        <w:t xml:space="preserve">FedRAMP: Continuous monitoring with cryptographic evidence satisfies ATO continuous monitoring requirements</w:t>
      </w:r>
    </w:p>
    <w:p>
      <w:pPr>
        <w:pStyle w:val="ListParagraph"/>
        <w:numPr>
          <w:ilvl w:val="0"/>
          <w:numId w:val="2"/>
        </w:numPr>
        <w:spacing w:after="60" w:before="60"/>
      </w:pPr>
      <w:r>
        <w:rPr>
          <w:rFonts w:ascii="Arial" w:cs="Arial" w:eastAsia="Arial" w:hAnsi="Arial"/>
          <w:color w:val="1E293B"/>
          <w:sz w:val="22"/>
          <w:szCs w:val="22"/>
        </w:rPr>
        <w:t xml:space="preserve">SOC 2: Automated collection of evidence for all five Trust Service Criteria reduces audit burden by up to 90%</w:t>
      </w:r>
    </w:p>
    <w:p>
      <w:pPr>
        <w:pStyle w:val="ListParagraph"/>
        <w:numPr>
          <w:ilvl w:val="0"/>
          <w:numId w:val="2"/>
        </w:numPr>
        <w:spacing w:after="60" w:before="60"/>
      </w:pPr>
      <w:r>
        <w:rPr>
          <w:rFonts w:ascii="Arial" w:cs="Arial" w:eastAsia="Arial" w:hAnsi="Arial"/>
          <w:color w:val="1E293B"/>
          <w:sz w:val="22"/>
          <w:szCs w:val="22"/>
        </w:rPr>
        <w:t xml:space="preserve">CMMC: Pre-configured playbooks for all 14 CMMC Level 3 domains with verifiable execution records</w:t>
      </w:r>
    </w:p>
    <w:p>
      <w:pPr>
        <w:pStyle w:val="ListParagraph"/>
        <w:numPr>
          <w:ilvl w:val="0"/>
          <w:numId w:val="2"/>
        </w:numPr>
        <w:spacing w:after="60" w:before="60"/>
      </w:pPr>
      <w:r>
        <w:rPr>
          <w:rFonts w:ascii="Arial" w:cs="Arial" w:eastAsia="Arial" w:hAnsi="Arial"/>
          <w:color w:val="1E293B"/>
          <w:sz w:val="22"/>
          <w:szCs w:val="22"/>
        </w:rPr>
        <w:t xml:space="preserve">Wazuh SIEM: FedRAMP-recognized tool providing continuous intrusion detection and log integrity monitoring</w:t>
      </w:r>
    </w:p>
    <w:p>
      <w:pPr>
        <w:spacing w:after="0" w:before="80"/>
      </w:pPr>
      <w:r>
        <w:t xml:space="preserve"/>
      </w:r>
    </w:p>
    <w:p>
      <w:pPr>
        <w:pStyle w:val="Heading2"/>
        <w:spacing w:after="120" w:before="320"/>
      </w:pPr>
      <w:r>
        <w:rPr>
          <w:rFonts w:ascii="Arial" w:cs="Arial" w:eastAsia="Arial" w:hAnsi="Arial"/>
          <w:b/>
          <w:bCs/>
          <w:color w:val="6D28D9"/>
          <w:sz w:val="26"/>
          <w:szCs w:val="26"/>
        </w:rPr>
        <w:t xml:space="preserve">5.3 Total Cost of Operations</w:t>
      </w:r>
    </w:p>
    <w:p>
      <w:pPr>
        <w:spacing w:after="120" w:before="80"/>
        <w:jc w:val="both"/>
      </w:pPr>
      <w:r>
        <w:rPr>
          <w:rFonts w:ascii="Arial" w:cs="Arial" w:eastAsia="Arial" w:hAnsi="Arial"/>
          <w:color w:val="1E293B"/>
          <w:sz w:val="22"/>
          <w:szCs w:val="22"/>
        </w:rPr>
        <w:t xml:space="preserve">UAIO's financial impact is felt across four cost centers: personnel, tooling consolidation, incident cost reduction, and compliance overhead. Organizations that consolidate monitoring, incident management, change management, SIEM, and compliance tooling onto a single UAIO platform typically realize significant reductions in tool licensing costs — before accounting for the personnel hours recovered from manual operations.</w:t>
      </w:r>
    </w:p>
    <w:p>
      <w:pPr>
        <w:spacing w:after="120" w:before="80"/>
        <w:jc w:val="both"/>
      </w:pPr>
      <w:r>
        <w:rPr>
          <w:rFonts w:ascii="Arial" w:cs="Arial" w:eastAsia="Arial" w:hAnsi="Arial"/>
          <w:color w:val="1E293B"/>
          <w:sz w:val="22"/>
          <w:szCs w:val="22"/>
        </w:rPr>
        <w:t xml:space="preserve">The most significant financial impact is in incident cost reduction. A single major infrastructure incident in a large enterprise can cost $300,000 to $1M+ when accounting for downtime, personnel time, customer impact, and regulatory exposure. UAIO's sub-90-second autonomous resolution time for covered incident types represents a material reduction in incident frequency and cost.</w:t>
      </w:r>
    </w:p>
    <w:p>
      <w:pPr>
        <w:pStyle w:val="Heading1"/>
        <w:pBdr>
          <w:bottom w:val="single" w:color="6D28D9" w:sz="6" w:space="1"/>
        </w:pBdr>
        <w:spacing w:after="160" w:before="480"/>
      </w:pPr>
      <w:r>
        <w:rPr>
          <w:rFonts w:ascii="Arial" w:cs="Arial" w:eastAsia="Arial" w:hAnsi="Arial"/>
          <w:b/>
          <w:bCs/>
          <w:color w:val="1E293B"/>
          <w:sz w:val="36"/>
          <w:szCs w:val="36"/>
        </w:rPr>
        <w:t xml:space="preserve">6. Evaluating UAIO Vendors: A Buyer's Guide</w:t>
      </w:r>
    </w:p>
    <w:p>
      <w:pPr>
        <w:spacing w:after="200" w:before="120"/>
        <w:jc w:val="both"/>
      </w:pPr>
      <w:r>
        <w:rPr>
          <w:rFonts w:ascii="Arial" w:cs="Arial" w:eastAsia="Arial" w:hAnsi="Arial"/>
          <w:i/>
          <w:iCs/>
          <w:color w:val="334155"/>
          <w:sz w:val="26"/>
          <w:szCs w:val="26"/>
        </w:rPr>
        <w:t xml:space="preserve">Not every platform that claims AI-driven operations qualifies as a true UAIO implementation. The following evaluation framework enables enterprise and government buyers to assess vendor claims against the UAIO standard.</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4C1D95" w:sz="1"/>
              <w:left w:val="single" w:color="4C1D95" w:sz="1"/>
              <w:bottom w:val="single" w:color="4C1D95" w:sz="1"/>
              <w:right w:val="single" w:color="4C1D95" w:sz="1"/>
            </w:tcBorders>
            <w:shd w:fill="4C1D95" w:val="clear"/>
            <w:tcMar>
              <w:top w:type="dxa" w:w="100"/>
              <w:left w:type="dxa" w:w="160"/>
              <w:bottom w:type="dxa" w:w="100"/>
              <w:right w:type="dxa" w:w="160"/>
            </w:tcMar>
          </w:tcPr>
          <w:p>
            <w:r>
              <w:rPr>
                <w:rFonts w:ascii="Arial" w:cs="Arial" w:eastAsia="Arial" w:hAnsi="Arial"/>
                <w:b/>
                <w:bCs/>
                <w:color w:val="FFFFFF"/>
                <w:sz w:val="20"/>
                <w:szCs w:val="20"/>
              </w:rPr>
              <w:t xml:space="preserve">Evaluation Dimension</w:t>
            </w:r>
          </w:p>
        </w:tc>
        <w:tc>
          <w:tcPr>
            <w:tcW w:type="dxa" w:w="6240"/>
            <w:tcBorders>
              <w:top w:val="single" w:color="4C1D95" w:sz="1"/>
              <w:left w:val="single" w:color="4C1D95" w:sz="1"/>
              <w:bottom w:val="single" w:color="4C1D95" w:sz="1"/>
              <w:right w:val="single" w:color="4C1D95" w:sz="1"/>
            </w:tcBorders>
            <w:shd w:fill="4C1D95" w:val="clear"/>
            <w:tcMar>
              <w:top w:type="dxa" w:w="100"/>
              <w:left w:type="dxa" w:w="160"/>
              <w:bottom w:type="dxa" w:w="100"/>
              <w:right w:type="dxa" w:w="160"/>
            </w:tcMar>
          </w:tcPr>
          <w:p>
            <w:r>
              <w:rPr>
                <w:rFonts w:ascii="Arial" w:cs="Arial" w:eastAsia="Arial" w:hAnsi="Arial"/>
                <w:b/>
                <w:bCs/>
                <w:color w:val="FFFFFF"/>
                <w:sz w:val="20"/>
                <w:szCs w:val="20"/>
              </w:rPr>
              <w:t xml:space="preserve">What to Ask</w:t>
            </w:r>
          </w:p>
        </w:tc>
      </w:tr>
      <w:tr>
        <w:tc>
          <w:tcPr>
            <w:tcW w:type="dxa" w:w="312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Autonomy Maturity</w:t>
            </w:r>
          </w:p>
        </w:tc>
        <w:tc>
          <w:tcPr>
            <w:tcW w:type="dxa" w:w="624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Can the platform detect, diagnose, and resolve incidents without human intervention for Tier 1-2 incidents?</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Cryptographic Assurance</w:t>
            </w:r>
          </w:p>
        </w:tc>
        <w:tc>
          <w:tcPr>
            <w:tcW w:type="dxa" w:w="624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Does every remediation action produce a tamper-proof, independently verifiable receipt?</w:t>
            </w:r>
          </w:p>
        </w:tc>
      </w:tr>
      <w:tr>
        <w:tc>
          <w:tcPr>
            <w:tcW w:type="dxa" w:w="312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Governance Gate Design</w:t>
            </w:r>
          </w:p>
        </w:tc>
        <w:tc>
          <w:tcPr>
            <w:tcW w:type="dxa" w:w="624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Are human approval gates configurable by incident severity, change category, and compliance requirement?</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AI Explainability</w:t>
            </w:r>
          </w:p>
        </w:tc>
        <w:tc>
          <w:tcPr>
            <w:tcW w:type="dxa" w:w="624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Can the system articulate why it took each action in plain language for audit and compliance purposes?</w:t>
            </w:r>
          </w:p>
        </w:tc>
      </w:tr>
      <w:tr>
        <w:tc>
          <w:tcPr>
            <w:tcW w:type="dxa" w:w="312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SIEM Integration</w:t>
            </w:r>
          </w:p>
        </w:tc>
        <w:tc>
          <w:tcPr>
            <w:tcW w:type="dxa" w:w="624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Is a live SIEM (e.g. Wazuh) feeding threat signals into the autonomous loop natively?</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Multi-Tenant Isolation</w:t>
            </w:r>
          </w:p>
        </w:tc>
        <w:tc>
          <w:tcPr>
            <w:tcW w:type="dxa" w:w="624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Is data isolation enforced at the infrastructure layer, not just the application layer?</w:t>
            </w:r>
          </w:p>
        </w:tc>
      </w:tr>
      <w:tr>
        <w:tc>
          <w:tcPr>
            <w:tcW w:type="dxa" w:w="312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Compliance Coverage</w:t>
            </w:r>
          </w:p>
        </w:tc>
        <w:tc>
          <w:tcPr>
            <w:tcW w:type="dxa" w:w="624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Does the platform natively support NIST CSF, HIPAA, SOC 2, FedRAMP, and CMMC frameworks?</w:t>
            </w:r>
          </w:p>
        </w:tc>
      </w:tr>
      <w:tr>
        <w:tc>
          <w:tcPr>
            <w:tcW w:type="dxa" w:w="312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Post-Quantum Readiness</w:t>
            </w:r>
          </w:p>
        </w:tc>
        <w:tc>
          <w:tcPr>
            <w:tcW w:type="dxa" w:w="624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Is cryptographic infrastructure designed to withstand quantum computing threats?</w:t>
            </w:r>
          </w:p>
        </w:tc>
      </w:tr>
      <w:tr>
        <w:tc>
          <w:tcPr>
            <w:tcW w:type="dxa" w:w="312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Vertical Specialization</w:t>
            </w:r>
          </w:p>
        </w:tc>
        <w:tc>
          <w:tcPr>
            <w:tcW w:type="dxa" w:w="624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Does the vendor offer purpose-built modules for healthcare, government, legal, and regulated industries?</w:t>
            </w:r>
          </w:p>
        </w:tc>
      </w:tr>
    </w:tbl>
    <w:p>
      <w:pPr>
        <w:spacing w:after="0" w:before="160"/>
      </w:pPr>
      <w:r>
        <w:t xml:space="preserve"/>
      </w:r>
    </w:p>
    <w:p>
      <w:pPr>
        <w:spacing w:after="120" w:before="80"/>
        <w:jc w:val="both"/>
      </w:pPr>
      <w:r>
        <w:rPr>
          <w:rFonts w:ascii="Arial" w:cs="Arial" w:eastAsia="Arial" w:hAnsi="Arial"/>
          <w:color w:val="1E293B"/>
          <w:sz w:val="22"/>
          <w:szCs w:val="22"/>
        </w:rPr>
        <w:t xml:space="preserve">A vendor that cannot demonstrate all nine dimensions against a live deployment — not a demo environment — should not be considered a UAIO platform. The claims are independently verifiable: ask for a receipt hash, verify it yourself at the vendor's public endpoint, and confirm that it reflects a real production action with a real timestamp.</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D28D9" w:sz="1"/>
              <w:left w:val="single" w:color="6D28D9" w:sz="16"/>
              <w:bottom w:val="single" w:color="6D28D9" w:sz="1"/>
              <w:right w:val="none" w:color="FFFFFF" w:sz="0"/>
            </w:tcBorders>
            <w:shd w:fill="EDE9FE" w:val="clear"/>
            <w:tcMar>
              <w:top w:type="dxa" w:w="160"/>
              <w:left w:type="dxa" w:w="240"/>
              <w:bottom w:type="dxa" w:w="160"/>
              <w:right w:type="dxa" w:w="240"/>
            </w:tcMar>
          </w:tcPr>
          <w:p>
            <w:pPr>
              <w:spacing w:after="60" w:before="0"/>
            </w:pPr>
            <w:r>
              <w:rPr>
                <w:rFonts w:ascii="Arial" w:cs="Arial" w:eastAsia="Arial" w:hAnsi="Arial"/>
                <w:b/>
                <w:bCs/>
                <w:caps/>
                <w:color w:val="6D28D9"/>
                <w:sz w:val="18"/>
                <w:szCs w:val="18"/>
              </w:rPr>
              <w:t xml:space="preserve">TRY IT NOW</w:t>
            </w:r>
          </w:p>
          <w:p>
            <w:pPr>
              <w:spacing w:after="0" w:before="0"/>
              <w:jc w:val="both"/>
            </w:pPr>
            <w:r>
              <w:rPr>
                <w:rFonts w:ascii="Arial" w:cs="Arial" w:eastAsia="Arial" w:hAnsi="Arial"/>
                <w:color w:val="1E293B"/>
                <w:sz w:val="22"/>
                <w:szCs w:val="22"/>
              </w:rPr>
              <w:t xml:space="preserve">Run Pulse on your infrastructure. Get a receipt. Verify it at itechsmart.dev/verify. That single interaction demonstrates, without any vendor involvement, what UAIO proof looks like in practice. See the live demo at docs.itechsmart.dev/demo.</w:t>
            </w:r>
          </w:p>
        </w:tc>
      </w:tr>
    </w:tbl>
    <w:p>
      <w:pPr>
        <w:pStyle w:val="Heading1"/>
        <w:pBdr>
          <w:bottom w:val="single" w:color="6D28D9" w:sz="6" w:space="1"/>
        </w:pBdr>
        <w:spacing w:after="160" w:before="480"/>
      </w:pPr>
      <w:r>
        <w:rPr>
          <w:rFonts w:ascii="Arial" w:cs="Arial" w:eastAsia="Arial" w:hAnsi="Arial"/>
          <w:b/>
          <w:bCs/>
          <w:color w:val="1E293B"/>
          <w:sz w:val="36"/>
          <w:szCs w:val="36"/>
        </w:rPr>
        <w:t xml:space="preserve">7. iTechSmart Inc.: The Category Pioneer</w:t>
      </w:r>
    </w:p>
    <w:p>
      <w:pPr>
        <w:pStyle w:val="Heading2"/>
        <w:spacing w:after="120" w:before="320"/>
      </w:pPr>
      <w:r>
        <w:rPr>
          <w:rFonts w:ascii="Arial" w:cs="Arial" w:eastAsia="Arial" w:hAnsi="Arial"/>
          <w:b/>
          <w:bCs/>
          <w:color w:val="6D28D9"/>
          <w:sz w:val="26"/>
          <w:szCs w:val="26"/>
        </w:rPr>
        <w:t xml:space="preserve">7.1 Platform Capabilities at a Glance</w:t>
      </w:r>
    </w:p>
    <w:p>
      <w:pPr>
        <w:pStyle w:val="ListParagraph"/>
        <w:numPr>
          <w:ilvl w:val="0"/>
          <w:numId w:val="2"/>
        </w:numPr>
        <w:spacing w:after="60" w:before="60"/>
      </w:pPr>
      <w:r>
        <w:rPr>
          <w:rFonts w:ascii="Arial" w:cs="Arial" w:eastAsia="Arial" w:hAnsi="Arial"/>
          <w:color w:val="1E293B"/>
          <w:sz w:val="22"/>
          <w:szCs w:val="22"/>
        </w:rPr>
        <w:t xml:space="preserve">124 production-tagged Docker containers across 84 microservices — all running</w:t>
      </w:r>
    </w:p>
    <w:p>
      <w:pPr>
        <w:pStyle w:val="ListParagraph"/>
        <w:numPr>
          <w:ilvl w:val="0"/>
          <w:numId w:val="2"/>
        </w:numPr>
        <w:spacing w:after="60" w:before="60"/>
      </w:pPr>
      <w:r>
        <w:rPr>
          <w:rFonts w:ascii="Arial" w:cs="Arial" w:eastAsia="Arial" w:hAnsi="Arial"/>
          <w:color w:val="1E293B"/>
          <w:sz w:val="22"/>
          <w:szCs w:val="22"/>
        </w:rPr>
        <w:t xml:space="preserve">7-layer OctoAI cognitive architecture with 8 specialized agents and The Arbiter governance engine</w:t>
      </w:r>
    </w:p>
    <w:p>
      <w:pPr>
        <w:pStyle w:val="ListParagraph"/>
        <w:numPr>
          <w:ilvl w:val="0"/>
          <w:numId w:val="2"/>
        </w:numPr>
        <w:spacing w:after="60" w:before="60"/>
      </w:pPr>
      <w:r>
        <w:rPr>
          <w:rFonts w:ascii="Arial" w:cs="Arial" w:eastAsia="Arial" w:hAnsi="Arial"/>
          <w:color w:val="1E293B"/>
          <w:sz w:val="22"/>
          <w:szCs w:val="22"/>
        </w:rPr>
        <w:t xml:space="preserve">Post-quantum cryptography implemented via OpenQuantumSafe</w:t>
      </w:r>
    </w:p>
    <w:p>
      <w:pPr>
        <w:pStyle w:val="ListParagraph"/>
        <w:numPr>
          <w:ilvl w:val="0"/>
          <w:numId w:val="2"/>
        </w:numPr>
        <w:spacing w:after="60" w:before="60"/>
      </w:pPr>
      <w:r>
        <w:rPr>
          <w:rFonts w:ascii="Arial" w:cs="Arial" w:eastAsia="Arial" w:hAnsi="Arial"/>
          <w:color w:val="1E293B"/>
          <w:sz w:val="22"/>
          <w:szCs w:val="22"/>
        </w:rPr>
        <w:t xml:space="preserve">Wazuh SIEM v4.7.3 deployed — live at wazuh.itechsmart.dev</w:t>
      </w:r>
    </w:p>
    <w:p>
      <w:pPr>
        <w:pStyle w:val="ListParagraph"/>
        <w:numPr>
          <w:ilvl w:val="0"/>
          <w:numId w:val="2"/>
        </w:numPr>
        <w:spacing w:after="60" w:before="60"/>
      </w:pPr>
      <w:r>
        <w:rPr>
          <w:rFonts w:ascii="Arial" w:cs="Arial" w:eastAsia="Arial" w:hAnsi="Arial"/>
          <w:color w:val="1E293B"/>
          <w:sz w:val="22"/>
          <w:szCs w:val="22"/>
        </w:rPr>
        <w:t xml:space="preserve">Compliance scores: NIST CSF 95/100, HIPAA 89/100, SOC 2 79/100</w:t>
      </w:r>
    </w:p>
    <w:p>
      <w:pPr>
        <w:pStyle w:val="ListParagraph"/>
        <w:numPr>
          <w:ilvl w:val="0"/>
          <w:numId w:val="2"/>
        </w:numPr>
        <w:spacing w:after="60" w:before="60"/>
      </w:pPr>
      <w:r>
        <w:rPr>
          <w:rFonts w:ascii="Arial" w:cs="Arial" w:eastAsia="Arial" w:hAnsi="Arial"/>
          <w:color w:val="1E293B"/>
          <w:sz w:val="22"/>
          <w:szCs w:val="22"/>
        </w:rPr>
        <w:t xml:space="preserve">Active FedRAMP pathway</w:t>
      </w:r>
    </w:p>
    <w:p>
      <w:pPr>
        <w:pStyle w:val="ListParagraph"/>
        <w:numPr>
          <w:ilvl w:val="0"/>
          <w:numId w:val="2"/>
        </w:numPr>
        <w:spacing w:after="60" w:before="60"/>
      </w:pPr>
      <w:r>
        <w:rPr>
          <w:rFonts w:ascii="Arial" w:cs="Arial" w:eastAsia="Arial" w:hAnsi="Arial"/>
          <w:color w:val="1E293B"/>
          <w:sz w:val="22"/>
          <w:szCs w:val="22"/>
        </w:rPr>
        <w:t xml:space="preserve">SDVOSB, VOSB, SDB, and Minority-Owned certifications — CAGE 172W2  |  UEI ZCPFX4N86G36</w:t>
      </w:r>
    </w:p>
    <w:p>
      <w:pPr>
        <w:pStyle w:val="ListParagraph"/>
        <w:numPr>
          <w:ilvl w:val="0"/>
          <w:numId w:val="2"/>
        </w:numPr>
        <w:spacing w:after="60" w:before="60"/>
      </w:pPr>
      <w:r>
        <w:rPr>
          <w:rFonts w:ascii="Arial" w:cs="Arial" w:eastAsia="Arial" w:hAnsi="Arial"/>
          <w:color w:val="1E293B"/>
          <w:sz w:val="22"/>
          <w:szCs w:val="22"/>
        </w:rPr>
        <w:t xml:space="preserve">Vertical deployments: Citadel (government/defense), HL7 Pro (healthcare), LegalAI Pro (legal), Supreme (enterprise)</w:t>
      </w:r>
    </w:p>
    <w:p>
      <w:pPr>
        <w:pStyle w:val="ListParagraph"/>
        <w:numPr>
          <w:ilvl w:val="0"/>
          <w:numId w:val="2"/>
        </w:numPr>
        <w:spacing w:after="60" w:before="60"/>
      </w:pPr>
      <w:r>
        <w:rPr>
          <w:rFonts w:ascii="Arial" w:cs="Arial" w:eastAsia="Arial" w:hAnsi="Arial"/>
          <w:color w:val="1E293B"/>
          <w:sz w:val="22"/>
          <w:szCs w:val="22"/>
        </w:rPr>
        <w:t xml:space="preserve">Pulse Scanner: free endpoint security assessment with cryptographic receipts — Windows, macOS, Linux</w:t>
      </w:r>
    </w:p>
    <w:p>
      <w:pPr>
        <w:pStyle w:val="ListParagraph"/>
        <w:numPr>
          <w:ilvl w:val="0"/>
          <w:numId w:val="2"/>
        </w:numPr>
        <w:spacing w:after="60" w:before="60"/>
      </w:pPr>
      <w:r>
        <w:rPr>
          <w:rFonts w:ascii="Arial" w:cs="Arial" w:eastAsia="Arial" w:hAnsi="Arial"/>
          <w:color w:val="1E293B"/>
          <w:sz w:val="22"/>
          <w:szCs w:val="22"/>
        </w:rPr>
        <w:t xml:space="preserve">Ranked #6 globally on F6S out of 2M+ AI startups</w:t>
      </w:r>
    </w:p>
    <w:p>
      <w:pPr>
        <w:pStyle w:val="ListParagraph"/>
        <w:numPr>
          <w:ilvl w:val="0"/>
          <w:numId w:val="2"/>
        </w:numPr>
        <w:spacing w:after="60" w:before="60"/>
      </w:pPr>
      <w:r>
        <w:rPr>
          <w:rFonts w:ascii="Arial" w:cs="Arial" w:eastAsia="Arial" w:hAnsi="Arial"/>
          <w:color w:val="1E293B"/>
          <w:sz w:val="22"/>
          <w:szCs w:val="22"/>
        </w:rPr>
        <w:t xml:space="preserve">Weekly and monthly automated backups — synced to Cloudflare R2 offsite storage</w:t>
      </w:r>
    </w:p>
    <w:p>
      <w:pPr>
        <w:spacing w:after="0" w:before="80"/>
      </w:pPr>
      <w:r>
        <w:t xml:space="preserve"/>
      </w:r>
    </w:p>
    <w:p>
      <w:pPr>
        <w:pStyle w:val="Heading2"/>
        <w:spacing w:after="120" w:before="320"/>
      </w:pPr>
      <w:r>
        <w:rPr>
          <w:rFonts w:ascii="Arial" w:cs="Arial" w:eastAsia="Arial" w:hAnsi="Arial"/>
          <w:b/>
          <w:bCs/>
          <w:color w:val="6D28D9"/>
          <w:sz w:val="26"/>
          <w:szCs w:val="26"/>
        </w:rPr>
        <w:t xml:space="preserve">7.2 The Path Forward</w:t>
      </w:r>
    </w:p>
    <w:p>
      <w:pPr>
        <w:spacing w:after="120" w:before="80"/>
        <w:jc w:val="both"/>
      </w:pPr>
      <w:r>
        <w:rPr>
          <w:rFonts w:ascii="Arial" w:cs="Arial" w:eastAsia="Arial" w:hAnsi="Arial"/>
          <w:color w:val="1E293B"/>
          <w:sz w:val="22"/>
          <w:szCs w:val="22"/>
        </w:rPr>
        <w:t xml:space="preserve">iTechSmart is actively advancing the UAIO category through three parallel tracks: deepening platform capability, expanding compliance certifications, and building the ecosystem of integration partners, channel resellers, and systems integrators that will bring UAIO to the full range of enterprise and government buyers.</w:t>
      </w:r>
    </w:p>
    <w:p>
      <w:pPr>
        <w:spacing w:after="120" w:before="80"/>
        <w:jc w:val="both"/>
      </w:pPr>
      <w:r>
        <w:rPr>
          <w:rFonts w:ascii="Arial" w:cs="Arial" w:eastAsia="Arial" w:hAnsi="Arial"/>
          <w:color w:val="1E293B"/>
          <w:sz w:val="22"/>
          <w:szCs w:val="22"/>
        </w:rPr>
        <w:t xml:space="preserve">The Pulse Scanner — available at no cost for any organization — serves as the entry point to the UAIO ecosystem. Every scan produces a cryptographic receipt that demonstrates, in a single interaction, what UAIO proof looks like in practice. Organizations that run Pulse and verify their receipt understand, viscerally, what the platform delivers before they engage in a sales conversation.</w:t>
      </w:r>
    </w:p>
    <w:p>
      <w:pPr>
        <w:spacing w:after="120" w:before="80"/>
        <w:jc w:val="both"/>
      </w:pPr>
      <w:r>
        <w:rPr>
          <w:rFonts w:ascii="Arial" w:cs="Arial" w:eastAsia="Arial" w:hAnsi="Arial"/>
          <w:color w:val="1E293B"/>
          <w:sz w:val="22"/>
          <w:szCs w:val="22"/>
        </w:rPr>
        <w:t xml:space="preserve">That is by design. UAIO is a demonstrable capability, not a marketing claim. We build the proof into the product from the first interaction.</w:t>
      </w:r>
    </w:p>
    <w:p>
      <w:pPr>
        <w:pStyle w:val="Heading1"/>
        <w:pBdr>
          <w:bottom w:val="single" w:color="6D28D9" w:sz="6" w:space="1"/>
        </w:pBdr>
        <w:spacing w:after="160" w:before="480"/>
      </w:pPr>
      <w:r>
        <w:rPr>
          <w:rFonts w:ascii="Arial" w:cs="Arial" w:eastAsia="Arial" w:hAnsi="Arial"/>
          <w:b/>
          <w:bCs/>
          <w:color w:val="1E293B"/>
          <w:sz w:val="36"/>
          <w:szCs w:val="36"/>
        </w:rPr>
        <w:t xml:space="preserve">8. Conclusion</w:t>
      </w:r>
    </w:p>
    <w:p>
      <w:pPr>
        <w:spacing w:after="120" w:before="80"/>
        <w:jc w:val="both"/>
      </w:pPr>
      <w:r>
        <w:rPr>
          <w:rFonts w:ascii="Arial" w:cs="Arial" w:eastAsia="Arial" w:hAnsi="Arial"/>
          <w:color w:val="1E293B"/>
          <w:sz w:val="22"/>
          <w:szCs w:val="22"/>
        </w:rPr>
        <w:t xml:space="preserve">Unified Autonomous IT Operations represents the next stage of evolution in enterprise and government infrastructure management. The case for UAIO is not theoretical — it is operational, financial, and regulatory. Organizations that continue to operate with reactive, human-driven tools are accepting a structural disadvantage in incident response, compliance posture, and operational cost.</w:t>
      </w:r>
    </w:p>
    <w:p>
      <w:pPr>
        <w:spacing w:after="120" w:before="80"/>
        <w:jc w:val="both"/>
      </w:pPr>
      <w:r>
        <w:rPr>
          <w:rFonts w:ascii="Arial" w:cs="Arial" w:eastAsia="Arial" w:hAnsi="Arial"/>
          <w:color w:val="1E293B"/>
          <w:sz w:val="22"/>
          <w:szCs w:val="22"/>
        </w:rPr>
        <w:t xml:space="preserve">The UAIO standard is clear: full autonomous closed loop, cryptographic proof of every action, defined human governance gates, explainable AI, and mandatory multi-tenant isolation. These are not optional features — they are the minimum requirements for a platform that deserves to manage critical infrastructure.</w:t>
      </w:r>
    </w:p>
    <w:p>
      <w:pPr>
        <w:spacing w:after="120" w:before="80"/>
        <w:jc w:val="both"/>
      </w:pPr>
      <w:r>
        <w:rPr>
          <w:rFonts w:ascii="Arial" w:cs="Arial" w:eastAsia="Arial" w:hAnsi="Arial"/>
          <w:color w:val="1E293B"/>
          <w:sz w:val="22"/>
          <w:szCs w:val="22"/>
        </w:rPr>
        <w:t xml:space="preserve">iTechSmart Inc. invites enterprise technology leaders, procurement officers, and government agency heads to evaluate the platform against this standard. Run Pulse on your infrastructure. Verify the receipt. Experience what cryptographic proof of IT operations looks like in practice.</w:t>
      </w:r>
    </w:p>
    <w:p>
      <w:pPr>
        <w:spacing w:after="120" w:before="80"/>
        <w:jc w:val="both"/>
      </w:pPr>
      <w:r>
        <w:rPr>
          <w:rFonts w:ascii="Arial" w:cs="Arial" w:eastAsia="Arial" w:hAnsi="Arial"/>
          <w:color w:val="1E293B"/>
          <w:sz w:val="22"/>
          <w:szCs w:val="22"/>
        </w:rPr>
        <w:t xml:space="preserve">Then ask your current vendor to do the same.</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D28D9" w:sz="1"/>
              <w:left w:val="single" w:color="6D28D9" w:sz="1"/>
              <w:bottom w:val="single" w:color="6D28D9" w:sz="1"/>
              <w:right w:val="single" w:color="6D28D9" w:sz="1"/>
            </w:tcBorders>
            <w:shd w:fill="1E293B" w:val="clear"/>
            <w:tcMar>
              <w:top w:type="dxa" w:w="280"/>
              <w:left w:type="dxa" w:w="360"/>
              <w:bottom w:type="dxa" w:w="280"/>
              <w:right w:type="dxa" w:w="360"/>
            </w:tcMar>
          </w:tcPr>
          <w:p>
            <w:pPr>
              <w:spacing w:after="120" w:before="0"/>
              <w:jc w:val="center"/>
            </w:pPr>
            <w:r>
              <w:rPr>
                <w:rFonts w:ascii="Arial" w:cs="Arial" w:eastAsia="Arial" w:hAnsi="Arial"/>
                <w:b/>
                <w:bCs/>
                <w:color w:val="FFFFFF"/>
                <w:sz w:val="28"/>
                <w:szCs w:val="28"/>
              </w:rPr>
              <w:t xml:space="preserve">Get Started with iTechSmart UAIO</w:t>
            </w:r>
          </w:p>
          <w:p>
            <w:pPr>
              <w:spacing w:after="80" w:before="0"/>
              <w:jc w:val="center"/>
            </w:pPr>
            <w:r>
              <w:rPr>
                <w:rFonts w:ascii="Arial" w:cs="Arial" w:eastAsia="Arial" w:hAnsi="Arial"/>
                <w:color w:val="EDE9FE"/>
                <w:sz w:val="22"/>
                <w:szCs w:val="22"/>
              </w:rPr>
              <w:t xml:space="preserve">Download Pulse — Free  |  itechsmart.dev/pulse</w:t>
            </w:r>
          </w:p>
          <w:p>
            <w:pPr>
              <w:spacing w:after="80" w:before="0"/>
              <w:jc w:val="center"/>
            </w:pPr>
            <w:r>
              <w:rPr>
                <w:rFonts w:ascii="Arial" w:cs="Arial" w:eastAsia="Arial" w:hAnsi="Arial"/>
                <w:color w:val="EDE9FE"/>
                <w:sz w:val="22"/>
                <w:szCs w:val="22"/>
              </w:rPr>
              <w:t xml:space="preserve">Live Demo  |  docs.itechsmart.dev/demo</w:t>
            </w:r>
          </w:p>
          <w:p>
            <w:pPr>
              <w:spacing w:after="80" w:before="0"/>
              <w:jc w:val="center"/>
            </w:pPr>
            <w:r>
              <w:rPr>
                <w:rFonts w:ascii="Arial" w:cs="Arial" w:eastAsia="Arial" w:hAnsi="Arial"/>
                <w:color w:val="EDE9FE"/>
                <w:sz w:val="22"/>
                <w:szCs w:val="22"/>
              </w:rPr>
              <w:t xml:space="preserve">Verify a Receipt  |  itechsmart.dev/verify</w:t>
            </w:r>
          </w:p>
          <w:p>
            <w:pPr>
              <w:spacing w:after="0" w:before="0"/>
              <w:jc w:val="center"/>
            </w:pPr>
            <w:r>
              <w:rPr>
                <w:rFonts w:ascii="Arial" w:cs="Arial" w:eastAsia="Arial" w:hAnsi="Arial"/>
                <w:color w:val="EDE9FE"/>
                <w:sz w:val="22"/>
                <w:szCs w:val="22"/>
              </w:rPr>
              <w:t xml:space="preserve">Enterprise &amp; Government  |  info@itechsmart.dev</w:t>
            </w:r>
          </w:p>
        </w:tc>
      </w:tr>
    </w:tbl>
    <w:p>
      <w:pPr>
        <w:spacing w:after="0" w:before="320"/>
      </w:pPr>
      <w:r>
        <w:t xml:space="preserve"/>
      </w:r>
    </w:p>
    <w:p>
      <w:pPr>
        <w:pStyle w:val="Heading1"/>
        <w:pBdr>
          <w:bottom w:val="single" w:color="6D28D9" w:sz="6" w:space="1"/>
        </w:pBdr>
        <w:spacing w:after="160" w:before="480"/>
      </w:pPr>
      <w:r>
        <w:rPr>
          <w:rFonts w:ascii="Arial" w:cs="Arial" w:eastAsia="Arial" w:hAnsi="Arial"/>
          <w:b/>
          <w:bCs/>
          <w:color w:val="1E293B"/>
          <w:sz w:val="36"/>
          <w:szCs w:val="36"/>
        </w:rPr>
        <w:t xml:space="preserve">Appendix: UAIO Compliance Framework Alignment</w:t>
      </w:r>
    </w:p>
    <w:p>
      <w:pPr>
        <w:spacing w:after="120" w:before="80"/>
        <w:jc w:val="both"/>
      </w:pPr>
      <w:r>
        <w:rPr>
          <w:rFonts w:ascii="Arial" w:cs="Arial" w:eastAsia="Arial" w:hAnsi="Arial"/>
          <w:color w:val="1E293B"/>
          <w:sz w:val="22"/>
          <w:szCs w:val="22"/>
        </w:rPr>
        <w:t xml:space="preserve">The following table maps UAIO foundational requirements to the compliance frameworks most relevant to enterprise and government buyers.</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4C1D95" w:sz="1"/>
              <w:left w:val="single" w:color="4C1D95" w:sz="1"/>
              <w:bottom w:val="single" w:color="4C1D95" w:sz="1"/>
              <w:right w:val="single" w:color="4C1D95" w:sz="1"/>
            </w:tcBorders>
            <w:shd w:fill="4C1D95" w:val="clear"/>
            <w:tcMar>
              <w:top w:type="dxa" w:w="100"/>
              <w:left w:type="dxa" w:w="160"/>
              <w:bottom w:type="dxa" w:w="100"/>
              <w:right w:type="dxa" w:w="160"/>
            </w:tcMar>
          </w:tcPr>
          <w:p>
            <w:r>
              <w:rPr>
                <w:rFonts w:ascii="Arial" w:cs="Arial" w:eastAsia="Arial" w:hAnsi="Arial"/>
                <w:b/>
                <w:bCs/>
                <w:color w:val="FFFFFF"/>
                <w:sz w:val="20"/>
                <w:szCs w:val="20"/>
              </w:rPr>
              <w:t xml:space="preserve">Framework</w:t>
            </w:r>
          </w:p>
        </w:tc>
        <w:tc>
          <w:tcPr>
            <w:tcW w:type="dxa" w:w="6560"/>
            <w:tcBorders>
              <w:top w:val="single" w:color="4C1D95" w:sz="1"/>
              <w:left w:val="single" w:color="4C1D95" w:sz="1"/>
              <w:bottom w:val="single" w:color="4C1D95" w:sz="1"/>
              <w:right w:val="single" w:color="4C1D95" w:sz="1"/>
            </w:tcBorders>
            <w:shd w:fill="4C1D95" w:val="clear"/>
            <w:tcMar>
              <w:top w:type="dxa" w:w="100"/>
              <w:left w:type="dxa" w:w="160"/>
              <w:bottom w:type="dxa" w:w="100"/>
              <w:right w:type="dxa" w:w="160"/>
            </w:tcMar>
          </w:tcPr>
          <w:p>
            <w:r>
              <w:rPr>
                <w:rFonts w:ascii="Arial" w:cs="Arial" w:eastAsia="Arial" w:hAnsi="Arial"/>
                <w:b/>
                <w:bCs/>
                <w:color w:val="FFFFFF"/>
                <w:sz w:val="20"/>
                <w:szCs w:val="20"/>
              </w:rPr>
              <w:t xml:space="preserve">UAIO Alignment</w:t>
            </w:r>
          </w:p>
        </w:tc>
      </w:tr>
      <w:tr>
        <w:tc>
          <w:tcPr>
            <w:tcW w:type="dxa" w:w="280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b/>
                <w:bCs/>
                <w:color w:val="6D28D9"/>
                <w:sz w:val="20"/>
                <w:szCs w:val="20"/>
              </w:rPr>
              <w:t xml:space="preserve">NIST CSF</w:t>
            </w:r>
          </w:p>
        </w:tc>
        <w:tc>
          <w:tcPr>
            <w:tcW w:type="dxa" w:w="656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All five functions (Identify, Protect, Detect, Respond, Recover) addressed natively. Wazuh SIEM feeds Detect. Cryptographic receipts satisfy Protect and Respond audit requirements.</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b/>
                <w:bCs/>
                <w:color w:val="6D28D9"/>
                <w:sz w:val="20"/>
                <w:szCs w:val="20"/>
              </w:rPr>
              <w:t xml:space="preserve">FedRAMP High</w:t>
            </w:r>
          </w:p>
        </w:tc>
        <w:tc>
          <w:tcPr>
            <w:tcW w:type="dxa" w:w="656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Continuous monitoring via Wazuh, incident response automation, and audit log integrity covered by the UAIO loop and ProofLink receipt chain.</w:t>
            </w:r>
          </w:p>
        </w:tc>
      </w:tr>
      <w:tr>
        <w:tc>
          <w:tcPr>
            <w:tcW w:type="dxa" w:w="280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b/>
                <w:bCs/>
                <w:color w:val="6D28D9"/>
                <w:sz w:val="20"/>
                <w:szCs w:val="20"/>
              </w:rPr>
              <w:t xml:space="preserve">HIPAA</w:t>
            </w:r>
          </w:p>
        </w:tc>
        <w:tc>
          <w:tcPr>
            <w:tcW w:type="dxa" w:w="656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Administrative, physical, and technical safeguards automated. Audit controls satisfied by tamper-evident receipt trail for all PHI-adjacent actions.</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b/>
                <w:bCs/>
                <w:color w:val="6D28D9"/>
                <w:sz w:val="20"/>
                <w:szCs w:val="20"/>
              </w:rPr>
              <w:t xml:space="preserve">SOC 2 (All TSCs)</w:t>
            </w:r>
          </w:p>
        </w:tc>
        <w:tc>
          <w:tcPr>
            <w:tcW w:type="dxa" w:w="656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Security, Availability, Processing Integrity, Confidentiality, and Privacy controls automated and evidenced through the receipt infrastructure.</w:t>
            </w:r>
          </w:p>
        </w:tc>
      </w:tr>
      <w:tr>
        <w:tc>
          <w:tcPr>
            <w:tcW w:type="dxa" w:w="280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b/>
                <w:bCs/>
                <w:color w:val="6D28D9"/>
                <w:sz w:val="20"/>
                <w:szCs w:val="20"/>
              </w:rPr>
              <w:t xml:space="preserve">CMMC Level 3</w:t>
            </w:r>
          </w:p>
        </w:tc>
        <w:tc>
          <w:tcPr>
            <w:tcW w:type="dxa" w:w="6560"/>
            <w:tcBorders>
              <w:top w:val="single" w:color="CBD5E1" w:sz="1"/>
              <w:left w:val="single" w:color="CBD5E1" w:sz="1"/>
              <w:bottom w:val="single" w:color="CBD5E1" w:sz="1"/>
              <w:right w:val="single" w:color="CBD5E1" w:sz="1"/>
            </w:tcBorders>
            <w:shd w:fill="F1F5F9" w:val="clear"/>
            <w:tcMar>
              <w:top w:type="dxa" w:w="80"/>
              <w:left w:type="dxa" w:w="160"/>
              <w:bottom w:type="dxa" w:w="80"/>
              <w:right w:type="dxa" w:w="160"/>
            </w:tcMar>
          </w:tcPr>
          <w:p>
            <w:r>
              <w:rPr>
                <w:rFonts w:ascii="Arial" w:cs="Arial" w:eastAsia="Arial" w:hAnsi="Arial"/>
                <w:color w:val="1E293B"/>
                <w:sz w:val="20"/>
                <w:szCs w:val="20"/>
              </w:rPr>
              <w:t xml:space="preserve">All 14 domains covered through purpose-built Citadel playbooks. Wazuh SIEM satisfies continuous monitoring requirements. Every control execution produces a verifiable receipt.</w:t>
            </w:r>
          </w:p>
        </w:tc>
      </w:tr>
      <w:tr>
        <w:tc>
          <w:tcPr>
            <w:tcW w:type="dxa" w:w="280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b/>
                <w:bCs/>
                <w:color w:val="6D28D9"/>
                <w:sz w:val="20"/>
                <w:szCs w:val="20"/>
              </w:rPr>
              <w:t xml:space="preserve">ISO 27001</w:t>
            </w:r>
          </w:p>
        </w:tc>
        <w:tc>
          <w:tcPr>
            <w:tcW w:type="dxa" w:w="656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60"/>
            </w:tcMar>
          </w:tcPr>
          <w:p>
            <w:r>
              <w:rPr>
                <w:rFonts w:ascii="Arial" w:cs="Arial" w:eastAsia="Arial" w:hAnsi="Arial"/>
                <w:color w:val="1E293B"/>
                <w:sz w:val="20"/>
                <w:szCs w:val="20"/>
              </w:rPr>
              <w:t xml:space="preserve">Information security controls automated and continuously evidenced. Non-conformity detection and corrective action fully logged with cryptographic proof.</w:t>
            </w:r>
          </w:p>
        </w:tc>
      </w:tr>
    </w:tbl>
    <w:p>
      <w:pPr>
        <w:spacing w:after="0" w:before="320"/>
      </w:pPr>
      <w:r>
        <w:t xml:space="preserve"/>
      </w:r>
    </w:p>
    <w:p>
      <w:pPr>
        <w:spacing w:after="80" w:before="160"/>
        <w:jc w:val="center"/>
      </w:pPr>
      <w:r>
        <w:rPr>
          <w:rFonts w:ascii="Arial" w:cs="Arial" w:eastAsia="Arial" w:hAnsi="Arial"/>
          <w:i/>
          <w:iCs/>
          <w:color w:val="334155"/>
          <w:sz w:val="18"/>
          <w:szCs w:val="18"/>
        </w:rPr>
        <w:t xml:space="preserve">iTechSmart Inc.  |  SDVOSB  |  CAGE 172W2  |  UEI ZCPFX4N86G36  |  Irvine, California  |  April 2026</w:t>
      </w:r>
    </w:p>
    <w:p>
      <w:pPr>
        <w:spacing w:after="0" w:before="0"/>
        <w:jc w:val="center"/>
      </w:pPr>
      <w:r>
        <w:rPr>
          <w:rFonts w:ascii="Arial" w:cs="Arial" w:eastAsia="Arial" w:hAnsi="Arial"/>
          <w:color w:val="6D28D9"/>
          <w:sz w:val="18"/>
          <w:szCs w:val="18"/>
        </w:rPr>
        <w:t xml:space="preserve">www.itechsmart.dev  |  info@itechsmart.dev  |  itechsmart.dev/pulse  |  itechsmart.dev/verify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4" w:space="1"/>
      </w:pBdr>
      <w:tabs>
        <w:tab w:val="right" w:pos="9026"/>
      </w:tabs>
      <w:spacing w:after="0" w:before="120"/>
    </w:pPr>
    <w:r>
      <w:rPr>
        <w:rFonts w:ascii="Arial" w:cs="Arial" w:eastAsia="Arial" w:hAnsi="Arial"/>
        <w:color w:val="334155"/>
        <w:sz w:val="16"/>
        <w:szCs w:val="16"/>
      </w:rPr>
      <w:t xml:space="preserve">www.itechsmart.dev  |  itechsmart.dev/pulse  |  itechsmart.dev/verify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BD5E1" w:sz="4" w:space="1"/>
      </w:pBdr>
      <w:spacing w:after="160" w:before="0"/>
      <w:jc w:val="right"/>
    </w:pPr>
    <w:r>
      <w:rPr>
        <w:rFonts w:ascii="Arial" w:cs="Arial" w:eastAsia="Arial" w:hAnsi="Arial"/>
        <w:color w:val="334155"/>
        <w:sz w:val="18"/>
        <w:szCs w:val="18"/>
      </w:rPr>
      <w:t xml:space="preserve">iTechSmart Inc.  |  UAIO White Paper v3.0  |  April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6D28D9"/>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E293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1E293B"/>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6D28D9"/>
      <w:sz w:val="26"/>
      <w:szCs w:val="26"/>
    </w:rPr>
  </w:style>
  <w:style w:type="paragraph" w:styleId="Heading3">
    <w:name w:val="Heading 3"/>
    <w:basedOn w:val="Normal"/>
    <w:next w:val="Normal"/>
    <w:qFormat/>
    <w:pPr>
      <w:spacing w:after="80" w:before="240"/>
      <w:outlineLvl w:val="2"/>
    </w:pPr>
    <w:rPr>
      <w:rFonts w:ascii="Arial" w:cs="Arial" w:eastAsia="Arial" w:hAnsi="Arial"/>
      <w:b/>
      <w:bCs/>
      <w:color w:val="1E293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2026-04-05T00:13:12.362Z</dcterms:created>
  <dcterms:modified xsi:type="dcterms:W3CDTF">2026-04-05T00:13:12.362Z</dcterms:modified>
</cp:coreProperties>
</file>

<file path=docProps/custom.xml><?xml version="1.0" encoding="utf-8"?>
<Properties xmlns="http://schemas.openxmlformats.org/officeDocument/2006/custom-properties" xmlns:vt="http://schemas.openxmlformats.org/officeDocument/2006/docPropsVTypes"/>
</file>